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widowControl w:val="off"/>
      </w:pPr>
      <w:r>
        <w:rPr>
          <w:color w:val="44546a"/>
          <w:sz w:val="18"/>
          <w:szCs w:val="1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2659214</wp:posOffset>
                </wp:positionH>
                <wp:positionV relativeFrom="paragraph">
                  <wp:posOffset>25014</wp:posOffset>
                </wp:positionV>
                <wp:extent cx="3735457" cy="2019632"/>
                <wp:effectExtent l="0" t="0" r="0" b="0"/>
                <wp:wrapNone/>
                <wp:docPr id="1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35457" cy="20196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110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Утверждено на заседании</w:t>
                            </w:r>
                            <w:r/>
                          </w:p>
                          <w:p>
                            <w:pPr>
                              <w:pStyle w:val="1110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 Постоянно действующей конкурсной</w:t>
                            </w:r>
                            <w:r/>
                          </w:p>
                          <w:p>
                            <w:pPr>
                              <w:pStyle w:val="1110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>
                              <w:t xml:space="preserve">комиссии ПАО «</w:t>
                            </w:r>
                            <w:r>
                              <w:t xml:space="preserve">Россети</w:t>
                            </w:r>
                            <w:r>
                              <w:t xml:space="preserve"> Московский регион»</w:t>
                            </w:r>
                            <w:r/>
                          </w:p>
                          <w:p>
                            <w:pPr>
                              <w:pStyle w:val="1110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  <w:rPr>
                                <w:highlight w:val="lightGray"/>
                              </w:rPr>
                            </w:pPr>
                            <w:r>
                              <w:t xml:space="preserve">(далее – Комиссия)</w:t>
                            </w:r>
                            <w:r>
                              <w:rPr>
                                <w:highlight w:val="lightGray"/>
                              </w:rPr>
                              <w:t xml:space="preserve"> </w:t>
                            </w:r>
                            <w:r>
                              <w:rPr>
                                <w:highlight w:val="lightGray"/>
                              </w:rPr>
                            </w:r>
                            <w:r>
                              <w:rPr>
                                <w:highlight w:val="lightGray"/>
                              </w:rPr>
                            </w:r>
                          </w:p>
                          <w:p>
                            <w:pPr>
                              <w:pStyle w:val="1110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</w:r>
                            <w:r>
                              <w:rPr>
                                <w:b/>
                              </w:rPr>
                            </w:r>
                            <w:r>
                              <w:rPr>
                                <w:b/>
                              </w:rPr>
                            </w:r>
                          </w:p>
                          <w:p>
                            <w:pPr>
                              <w:pStyle w:val="1110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  <w:rPr>
                                <w:highlight w:val="lightGray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Протокол № РМР/620 от «27» февраля 2025 г.</w:t>
                            </w:r>
                            <w:r>
                              <w:rPr>
                                <w:highlight w:val="lightGray"/>
                              </w:rPr>
                              <w:t xml:space="preserve"> </w:t>
                            </w:r>
                            <w:r>
                              <w:rPr>
                                <w:highlight w:val="lightGray"/>
                              </w:rPr>
                            </w:r>
                            <w:r>
                              <w:rPr>
                                <w:highlight w:val="lightGray"/>
                              </w:rPr>
                            </w:r>
                          </w:p>
                          <w:p>
                            <w:pPr>
                              <w:pStyle w:val="1110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pStyle w:val="1110"/>
                              <w:ind w:right="17"/>
                              <w:jc w:val="right"/>
                              <w:keepNext/>
                              <w:spacing w:after="0"/>
                              <w:tabs>
                                <w:tab w:val="left" w:pos="5670" w:leader="none"/>
                              </w:tabs>
                              <w:rPr>
                                <w:highlight w:val="lightGray"/>
                              </w:rPr>
                            </w:pPr>
                            <w:r>
                              <w:t xml:space="preserve">Секретарь Комиссии:</w:t>
                            </w:r>
                            <w:r>
                              <w:rPr>
                                <w:highlight w:val="lightGray"/>
                              </w:rPr>
                            </w:r>
                            <w:r>
                              <w:rPr>
                                <w:highlight w:val="lightGray"/>
                              </w:rPr>
                            </w:r>
                          </w:p>
                          <w:p>
                            <w:pPr>
                              <w:jc w:val="right"/>
                              <w:keepNext/>
                              <w:tabs>
                                <w:tab w:val="left" w:pos="567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jc w:val="right"/>
                              <w:keepNext/>
                              <w:tabs>
                                <w:tab w:val="left" w:pos="5670" w:leader="none"/>
                              </w:tabs>
                              <w:rPr>
                                <w:b/>
                                <w:bCs/>
                              </w:rPr>
                            </w:pPr>
                            <w:r>
                              <w:t xml:space="preserve">______________   Гусев К.В.</w:t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  <w:r>
                              <w:rPr>
                                <w:b/>
                                <w:bCs/>
                              </w:rPr>
                            </w:r>
                          </w:p>
                          <w:p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</w:r>
                            <w:r>
                              <w:rPr>
                                <w:szCs w:val="16"/>
                              </w:rPr>
                            </w:r>
                            <w:r>
                              <w:rPr>
                                <w:szCs w:val="16"/>
                              </w:rPr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type="#_x0000_t1" style="position:absolute;z-index:251656192;o:allowoverlap:true;o:allowincell:true;mso-position-horizontal-relative:text;margin-left:209.39pt;mso-position-horizontal:absolute;mso-position-vertical-relative:text;margin-top:1.97pt;mso-position-vertical:absolute;width:294.13pt;height:159.03pt;mso-wrap-distance-left:9.00pt;mso-wrap-distance-top:0.00pt;mso-wrap-distance-right:9.00pt;mso-wrap-distance-bottom:0.00pt;v-text-anchor:top;visibility:visible;" filled="f" stroked="f">
                <v:textbox inset="0,0,0,0">
                  <w:txbxContent>
                    <w:p>
                      <w:pPr>
                        <w:pStyle w:val="1110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Утверждено на заседании</w:t>
                      </w:r>
                      <w:r/>
                    </w:p>
                    <w:p>
                      <w:pPr>
                        <w:pStyle w:val="1110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 Постоянно действующей конкурсной</w:t>
                      </w:r>
                      <w:r/>
                    </w:p>
                    <w:p>
                      <w:pPr>
                        <w:pStyle w:val="1110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>
                        <w:t xml:space="preserve">комиссии ПАО «</w:t>
                      </w:r>
                      <w:r>
                        <w:t xml:space="preserve">Россети</w:t>
                      </w:r>
                      <w:r>
                        <w:t xml:space="preserve"> Московский регион»</w:t>
                      </w:r>
                      <w:r/>
                    </w:p>
                    <w:p>
                      <w:pPr>
                        <w:pStyle w:val="1110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  <w:rPr>
                          <w:highlight w:val="lightGray"/>
                        </w:rPr>
                      </w:pPr>
                      <w:r>
                        <w:t xml:space="preserve">(далее – Комиссия)</w:t>
                      </w:r>
                      <w:r>
                        <w:rPr>
                          <w:highlight w:val="lightGray"/>
                        </w:rPr>
                        <w:t xml:space="preserve"> </w:t>
                      </w:r>
                      <w:r>
                        <w:rPr>
                          <w:highlight w:val="lightGray"/>
                        </w:rPr>
                      </w:r>
                      <w:r>
                        <w:rPr>
                          <w:highlight w:val="lightGray"/>
                        </w:rPr>
                      </w:r>
                    </w:p>
                    <w:p>
                      <w:pPr>
                        <w:pStyle w:val="1110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</w:rPr>
                      </w:r>
                      <w:r>
                        <w:rPr>
                          <w:b/>
                        </w:rPr>
                      </w:r>
                      <w:r>
                        <w:rPr>
                          <w:b/>
                        </w:rPr>
                      </w:r>
                    </w:p>
                    <w:p>
                      <w:pPr>
                        <w:pStyle w:val="1110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  <w:rPr>
                          <w:highlight w:val="lightGray"/>
                        </w:rPr>
                      </w:pPr>
                      <w:r>
                        <w:rPr>
                          <w:b/>
                        </w:rPr>
                        <w:t xml:space="preserve">Протокол № РМР/620 от «27» февраля 2025 г.</w:t>
                      </w:r>
                      <w:r>
                        <w:rPr>
                          <w:highlight w:val="lightGray"/>
                        </w:rPr>
                        <w:t xml:space="preserve"> </w:t>
                      </w:r>
                      <w:r>
                        <w:rPr>
                          <w:highlight w:val="lightGray"/>
                        </w:rPr>
                      </w:r>
                      <w:r>
                        <w:rPr>
                          <w:highlight w:val="lightGray"/>
                        </w:rPr>
                      </w:r>
                    </w:p>
                    <w:p>
                      <w:pPr>
                        <w:pStyle w:val="1110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</w:pPr>
                      <w:r/>
                      <w:r/>
                    </w:p>
                    <w:p>
                      <w:pPr>
                        <w:pStyle w:val="1110"/>
                        <w:ind w:right="17"/>
                        <w:jc w:val="right"/>
                        <w:keepNext/>
                        <w:spacing w:after="0"/>
                        <w:tabs>
                          <w:tab w:val="left" w:pos="5670" w:leader="none"/>
                        </w:tabs>
                        <w:rPr>
                          <w:highlight w:val="lightGray"/>
                        </w:rPr>
                      </w:pPr>
                      <w:r>
                        <w:t xml:space="preserve">Секретарь Комиссии:</w:t>
                      </w:r>
                      <w:r>
                        <w:rPr>
                          <w:highlight w:val="lightGray"/>
                        </w:rPr>
                      </w:r>
                      <w:r>
                        <w:rPr>
                          <w:highlight w:val="lightGray"/>
                        </w:rPr>
                      </w:r>
                    </w:p>
                    <w:p>
                      <w:pPr>
                        <w:jc w:val="right"/>
                        <w:keepNext/>
                        <w:tabs>
                          <w:tab w:val="left" w:pos="5670" w:leader="none"/>
                        </w:tabs>
                      </w:pPr>
                      <w:r/>
                      <w:r/>
                    </w:p>
                    <w:p>
                      <w:pPr>
                        <w:jc w:val="right"/>
                        <w:keepNext/>
                        <w:tabs>
                          <w:tab w:val="left" w:pos="5670" w:leader="none"/>
                        </w:tabs>
                        <w:rPr>
                          <w:b/>
                          <w:bCs/>
                        </w:rPr>
                      </w:pPr>
                      <w:r>
                        <w:t xml:space="preserve">______________   Гусев К.В.</w:t>
                      </w:r>
                      <w:r>
                        <w:rPr>
                          <w:b/>
                          <w:bCs/>
                        </w:rPr>
                      </w:r>
                      <w:r>
                        <w:rPr>
                          <w:b/>
                          <w:bCs/>
                        </w:rPr>
                      </w:r>
                    </w:p>
                    <w:p>
                      <w:pPr>
                        <w:rPr>
                          <w:szCs w:val="16"/>
                        </w:rPr>
                      </w:pPr>
                      <w:r>
                        <w:rPr>
                          <w:szCs w:val="16"/>
                        </w:rPr>
                      </w:r>
                      <w:r>
                        <w:rPr>
                          <w:szCs w:val="16"/>
                        </w:rPr>
                      </w:r>
                      <w:r>
                        <w:rPr>
                          <w:szCs w:val="16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-720090</wp:posOffset>
                </wp:positionH>
                <wp:positionV relativeFrom="paragraph">
                  <wp:posOffset>-116205</wp:posOffset>
                </wp:positionV>
                <wp:extent cx="7585710" cy="1224280"/>
                <wp:effectExtent l="0" t="0" r="0" b="0"/>
                <wp:wrapTight wrapText="bothSides">
                  <wp:wrapPolygon edited="1">
                    <wp:start x="0" y="0"/>
                    <wp:lineTo x="0" y="21174"/>
                    <wp:lineTo x="21535" y="21174"/>
                    <wp:lineTo x="21535" y="0"/>
                    <wp:lineTo x="0" y="0"/>
                  </wp:wrapPolygon>
                </wp:wrapTight>
                <wp:docPr id="2" name="Рисунок 3" descr="Бланк протокол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ланк протокола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rcRect l="0" t="0" r="0" b="32353"/>
                        <a:stretch/>
                      </pic:blipFill>
                      <pic:spPr bwMode="auto">
                        <a:xfrm>
                          <a:off x="0" y="0"/>
                          <a:ext cx="7585710" cy="1224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-251657216;o:allowoverlap:true;o:allowincell:true;mso-position-horizontal-relative:text;margin-left:-56.70pt;mso-position-horizontal:absolute;mso-position-vertical-relative:text;margin-top:-9.15pt;mso-position-vertical:absolute;width:597.30pt;height:96.40pt;mso-wrap-distance-left:9.00pt;mso-wrap-distance-top:0.00pt;mso-wrap-distance-right:9.00pt;mso-wrap-distance-bottom:0.00pt;" wrapcoords="0 0 0 98028 99699 98028 99699 0 0 0" stroked="f">
                <v:path textboxrect="0,0,0,0"/>
                <w10:wrap type="tight"/>
                <v:imagedata r:id="rId15" o:title=""/>
              </v:shape>
            </w:pict>
          </mc:Fallback>
        </mc:AlternateConten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pStyle w:val="1256"/>
        <w:ind w:left="0" w:right="0" w:firstLine="0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256"/>
        <w:ind w:left="0" w:right="0" w:firstLine="0"/>
        <w:jc w:val="center"/>
        <w:spacing w:line="240" w:lineRule="auto"/>
        <w:shd w:val="clear" w:color="auto" w:fill="auto"/>
        <w:widowControl w:val="off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 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  <w:t xml:space="preserve">ЗАПРОС ПРЕДЛОЖЕНИЙ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tabs>
          <w:tab w:val="left" w:pos="0" w:leader="none"/>
        </w:tabs>
        <w:rPr>
          <w:b/>
          <w:bCs/>
          <w14:ligatures w14:val="none"/>
        </w:rPr>
        <w:outlineLvl w:val="0"/>
      </w:pPr>
      <w:r>
        <w:rPr>
          <w:b/>
          <w:bCs/>
        </w:rPr>
      </w:r>
      <w:bookmarkStart w:id="0" w:name="_Toc189054375"/>
      <w:r>
        <w:rPr>
          <w:b/>
          <w:bCs/>
        </w:rPr>
        <w:t xml:space="preserve">по определению поставщика на поставку</w:t>
      </w:r>
      <w:bookmarkEnd w:id="0"/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spacing w:after="0"/>
        <w:widowControl w:val="off"/>
        <w:tabs>
          <w:tab w:val="left" w:pos="0" w:leader="none"/>
        </w:tabs>
        <w:rPr>
          <w:b/>
          <w:bCs/>
          <w:sz w:val="28"/>
          <w:szCs w:val="28"/>
          <w14:ligatures w14:val="none"/>
        </w:rPr>
        <w:outlineLvl w:val="0"/>
      </w:pPr>
      <w:r>
        <w:rPr>
          <w:b/>
          <w:bCs/>
          <w:sz w:val="28"/>
          <w:szCs w:val="28"/>
        </w:rPr>
      </w:r>
      <w:r>
        <w:rPr>
          <w:b/>
          <w:bCs/>
        </w:rPr>
        <w:t xml:space="preserve">разъединителей рубящего типа</w:t>
      </w:r>
      <w:r>
        <w:rPr>
          <w:b/>
          <w:bCs/>
        </w:rPr>
        <w:t xml:space="preserve"> </w:t>
      </w:r>
      <w:r>
        <w:rPr>
          <w:b/>
          <w:bCs/>
        </w:rPr>
        <w:t xml:space="preserve">для н</w:t>
      </w:r>
      <w:r>
        <w:rPr>
          <w:b/>
          <w:bCs/>
        </w:rPr>
        <w:t xml:space="preserve">ужд филиалов </w:t>
      </w:r>
      <w:r>
        <w:rPr>
          <w:b/>
          <w:bCs/>
        </w:rPr>
        <w:t xml:space="preserve">ПАО «Россети Московский</w:t>
      </w:r>
      <w:r>
        <w:rPr>
          <w:b/>
          <w:bCs/>
        </w:rPr>
        <w:t xml:space="preserve"> ре</w:t>
      </w:r>
      <w:r>
        <w:rPr>
          <w:b/>
          <w:bCs/>
        </w:rPr>
        <w:t xml:space="preserve">гион»</w:t>
      </w:r>
      <w:r>
        <w:rPr>
          <w:b/>
          <w:bCs/>
        </w:rPr>
      </w:r>
      <w:r>
        <w:rPr>
          <w:b/>
          <w:bCs/>
          <w:sz w:val="28"/>
          <w:szCs w:val="28"/>
          <w14:ligatures w14:val="none"/>
        </w:rPr>
      </w:r>
    </w:p>
    <w:p>
      <w:pPr>
        <w:jc w:val="center"/>
        <w:spacing w:after="0"/>
        <w:widowControl w:val="off"/>
        <w:tabs>
          <w:tab w:val="left" w:pos="0" w:leader="none"/>
        </w:tabs>
        <w:rPr>
          <w:b/>
          <w:bCs/>
          <w14:ligatures w14:val="none"/>
        </w:rPr>
      </w:pPr>
      <w:r>
        <w:rPr>
          <w:b/>
          <w:bCs/>
        </w:rPr>
      </w:r>
      <w:r>
        <w:rPr>
          <w:b/>
          <w:bCs/>
          <w14:ligatures w14:val="none"/>
        </w:rPr>
      </w:r>
      <w:r>
        <w:rPr>
          <w:b/>
          <w:bCs/>
          <w14:ligatures w14:val="none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  <w:t xml:space="preserve">(далее – Документация/Документация о закупке)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center"/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г. Москва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1110"/>
        <w:jc w:val="center"/>
        <w:spacing w:after="0"/>
        <w:widowControl w:val="off"/>
        <w:rPr>
          <w:b/>
          <w:bCs/>
        </w:rPr>
      </w:pPr>
      <w:r>
        <w:rPr>
          <w:b/>
          <w:sz w:val="20"/>
          <w:szCs w:val="20"/>
        </w:rPr>
        <w:t xml:space="preserve">2025 г.</w:t>
      </w:r>
      <w:r>
        <w:t xml:space="preserve"> </w:t>
      </w:r>
      <w: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913"/>
        <w:ind w:left="0" w:firstLine="0"/>
        <w:keepNext w:val="0"/>
        <w:spacing w:before="0" w:after="0"/>
        <w:widowControl w:val="off"/>
        <w:tabs>
          <w:tab w:val="clear" w:pos="432" w:leader="none"/>
        </w:tabs>
        <w:rPr>
          <w:rStyle w:val="1215"/>
          <w:b/>
          <w:caps/>
          <w:sz w:val="24"/>
          <w:szCs w:val="24"/>
        </w:rPr>
      </w:pPr>
      <w:r/>
      <w:bookmarkStart w:id="2" w:name="_Toc189054376"/>
      <w:r>
        <w:rPr>
          <w:rStyle w:val="1215"/>
          <w:b/>
          <w:caps/>
          <w:sz w:val="24"/>
          <w:szCs w:val="24"/>
        </w:rPr>
        <w:t xml:space="preserve">СОДЕРЖАНИЕ</w:t>
      </w:r>
      <w:bookmarkEnd w:id="2"/>
      <w:r>
        <w:rPr>
          <w:rStyle w:val="1215"/>
          <w:b/>
          <w:caps/>
          <w:sz w:val="24"/>
          <w:szCs w:val="24"/>
        </w:rPr>
      </w:r>
      <w:r>
        <w:rPr>
          <w:rStyle w:val="1215"/>
          <w:b/>
          <w:caps/>
          <w:sz w:val="24"/>
          <w:szCs w:val="24"/>
        </w:rPr>
      </w:r>
    </w:p>
    <w:p>
      <w:pPr>
        <w:jc w:val="left"/>
        <w:spacing w:after="0"/>
        <w:widowControl w:val="off"/>
      </w:pPr>
      <w:r/>
      <w:r/>
    </w:p>
    <w:p>
      <w:pPr>
        <w:pStyle w:val="1104"/>
        <w:tabs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89054375" w:anchor="_Toc189054375" w:history="1">
        <w:r>
          <w:rPr>
            <w:rStyle w:val="1140"/>
          </w:rPr>
          <w:t xml:space="preserve">по определению поставщика на поставку</w:t>
        </w:r>
        <w:r>
          <w:tab/>
        </w:r>
        <w:r>
          <w:fldChar w:fldCharType="begin"/>
        </w:r>
        <w:r>
          <w:instrText xml:space="preserve"> PAGEREF _Toc189054375 \h </w:instrText>
        </w:r>
        <w:r>
          <w:fldChar w:fldCharType="separate"/>
        </w:r>
        <w:r>
          <w:t xml:space="preserve">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04"/>
        <w:tabs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054376" w:anchor="_Toc189054376" w:history="1">
        <w:r>
          <w:rPr>
            <w:rStyle w:val="1140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 PAGEREF _Toc189054376 \h 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04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054377" w:anchor="_Toc189054377" w:history="1">
        <w:r>
          <w:rPr>
            <w:rStyle w:val="1140"/>
          </w:rPr>
          <w:t xml:space="preserve">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40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 PAGEREF _Toc189054377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04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054378" w:anchor="_Toc189054378" w:history="1">
        <w:r>
          <w:rPr>
            <w:rStyle w:val="1140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40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 </w:instrText>
        </w:r>
        <w:r>
          <w:instrText xml:space="preserve">PAGEREF _Toc189054378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79" w:anchor="_Toc189054379" w:history="1">
        <w:r>
          <w:rPr>
            <w:rStyle w:val="1140"/>
          </w:rPr>
          <w:t xml:space="preserve">1.1.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Общие сведения о Закупке.</w:t>
        </w:r>
        <w:r>
          <w:tab/>
        </w:r>
        <w:r>
          <w:fldChar w:fldCharType="begin"/>
        </w:r>
        <w:r>
          <w:instrText xml:space="preserve"> PAGEREF _Toc189054379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80" w:anchor="_Toc189054380" w:history="1">
        <w:r>
          <w:rPr>
            <w:rStyle w:val="1140"/>
          </w:rPr>
          <w:t xml:space="preserve">1.2.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 PAGEREF _Toc189054380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81" w:anchor="_Toc189054381" w:history="1">
        <w:r>
          <w:rPr>
            <w:rStyle w:val="1140"/>
          </w:rPr>
          <w:t xml:space="preserve">1.3.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Обжалование.</w:t>
        </w:r>
        <w:r>
          <w:tab/>
        </w:r>
        <w:r>
          <w:fldChar w:fldCharType="begin"/>
        </w:r>
        <w:r>
          <w:instrText xml:space="preserve"> PAGEREF _Toc189054381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82" w:anchor="_Toc189054382" w:history="1">
        <w:r>
          <w:rPr>
            <w:rStyle w:val="1140"/>
          </w:rPr>
          <w:t xml:space="preserve">1.4.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Прочие положения.</w:t>
        </w:r>
        <w:r>
          <w:tab/>
        </w:r>
        <w:r>
          <w:fldChar w:fldCharType="begin"/>
        </w:r>
        <w:r>
          <w:instrText xml:space="preserve"> PAGEREF _Toc189054382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83" w:anchor="_Toc189054383" w:history="1">
        <w:r>
          <w:rPr>
            <w:rStyle w:val="1140"/>
          </w:rPr>
          <w:t xml:space="preserve">1.5.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Антикоррупционная политика.</w:t>
        </w:r>
        <w:r>
          <w:tab/>
        </w:r>
        <w:r>
          <w:fldChar w:fldCharType="begin"/>
        </w:r>
        <w:r>
          <w:instrText xml:space="preserve"> PAGEREF _Toc189054383 </w:instrText>
        </w:r>
        <w:r>
          <w:instrText xml:space="preserve">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4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054384" w:anchor="_Toc189054384" w:history="1">
        <w:r>
          <w:rPr>
            <w:rStyle w:val="1140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40"/>
          </w:rPr>
          <w:t xml:space="preserve">ПОРЯДОК ПРОВЕДЕНИЯ ЗАКУПКИ</w:t>
        </w:r>
        <w:r>
          <w:tab/>
        </w:r>
        <w:r>
          <w:fldChar w:fldCharType="begin"/>
        </w:r>
        <w:r>
          <w:instrText xml:space="preserve"> PAGEREF _Toc189054384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85" w:anchor="_Toc189054385" w:history="1">
        <w:r>
          <w:rPr>
            <w:rStyle w:val="1140"/>
          </w:rPr>
          <w:t xml:space="preserve">2.1.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Общий порядок проведения Закупки</w:t>
        </w:r>
        <w:r>
          <w:tab/>
        </w:r>
        <w:r>
          <w:fldChar w:fldCharType="begin"/>
        </w:r>
        <w:r>
          <w:instrText xml:space="preserve"> PAGEREF _Toc189054385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86" w:anchor="_Toc189054386" w:history="1">
        <w:r>
          <w:rPr>
            <w:rStyle w:val="1140"/>
          </w:rPr>
          <w:t xml:space="preserve">2.2.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Публикация Документации и Извещения.</w:t>
        </w:r>
        <w:r>
          <w:tab/>
        </w:r>
        <w:r>
          <w:fldChar w:fldCharType="begin"/>
        </w:r>
        <w:r>
          <w:instrText xml:space="preserve"> PAGEREF _Toc189054386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87" w:anchor="_Toc189054387" w:history="1">
        <w:r>
          <w:rPr>
            <w:rStyle w:val="1140"/>
          </w:rPr>
          <w:t xml:space="preserve">2.3.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Изучение Документации, затраты на участие в закупке.</w:t>
        </w:r>
        <w:r>
          <w:tab/>
        </w:r>
        <w:r>
          <w:fldChar w:fldCharType="begin"/>
        </w:r>
        <w:r>
          <w:instrText xml:space="preserve"> PAGEREF _Toc189054387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88" w:anchor="_Toc189054388" w:history="1">
        <w:r>
          <w:rPr>
            <w:rStyle w:val="1140"/>
          </w:rPr>
          <w:t xml:space="preserve">2.4.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Разъяснение положений Документации.</w:t>
        </w:r>
        <w:r>
          <w:tab/>
        </w:r>
        <w:r>
          <w:fldChar w:fldCharType="begin"/>
        </w:r>
        <w:r>
          <w:instrText xml:space="preserve"> PAGEREF _Toc189054388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89" w:anchor="_Toc189054389" w:history="1">
        <w:r>
          <w:rPr>
            <w:rStyle w:val="1140"/>
          </w:rPr>
          <w:t xml:space="preserve">2.5.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Внесение изменений в Документацию.</w:t>
        </w:r>
        <w:r>
          <w:tab/>
        </w:r>
        <w:r>
          <w:fldChar w:fldCharType="begin"/>
        </w:r>
        <w:r>
          <w:instrText xml:space="preserve"> PAGEREF _Toc189054389 \</w:instrText>
        </w:r>
        <w:r>
          <w:instrText xml:space="preserve">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90" w:anchor="_Toc189054390" w:history="1">
        <w:r>
          <w:rPr>
            <w:rStyle w:val="1140"/>
          </w:rPr>
          <w:t xml:space="preserve">2.6.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Обеспечение заявки на участие в Закупке.</w:t>
        </w:r>
        <w:r>
          <w:tab/>
        </w:r>
        <w:r>
          <w:fldChar w:fldCharType="begin"/>
        </w:r>
        <w:r>
          <w:instrText xml:space="preserve"> PAGEREF _Toc189054390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91" w:anchor="_Toc189054391" w:history="1">
        <w:r>
          <w:rPr>
            <w:rStyle w:val="1140"/>
          </w:rPr>
          <w:t xml:space="preserve">2.7.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Подача заявок и их прием.</w:t>
        </w:r>
        <w:r>
          <w:tab/>
        </w:r>
        <w:r>
          <w:fldChar w:fldCharType="begin"/>
        </w:r>
        <w:r>
          <w:instrText xml:space="preserve"> PAGEREF _Toc189054391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92" w:anchor="_Toc189054392" w:history="1">
        <w:r>
          <w:rPr>
            <w:rStyle w:val="1140"/>
          </w:rPr>
          <w:t xml:space="preserve">2.8.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Изменение и отзыв заявки на участие в закупке.</w:t>
        </w:r>
        <w:r>
          <w:tab/>
        </w:r>
        <w:r>
          <w:fldChar w:fldCharType="begin"/>
        </w:r>
        <w:r>
          <w:instrText xml:space="preserve"> PAGEREF _Toc189054392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93" w:anchor="_Toc189054393" w:history="1">
        <w:r>
          <w:rPr>
            <w:rStyle w:val="1140"/>
          </w:rPr>
          <w:t xml:space="preserve">2.9.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 PAGEREF _Toc189054393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94" w:anchor="_Toc189054394" w:history="1">
        <w:r>
          <w:rPr>
            <w:rStyle w:val="1140"/>
          </w:rPr>
          <w:t xml:space="preserve">2.10.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Вскрытие заявок.</w:t>
        </w:r>
        <w:r>
          <w:tab/>
        </w:r>
        <w:r>
          <w:fldChar w:fldCharType="begin"/>
        </w:r>
        <w:r>
          <w:instrText xml:space="preserve"> PAGEREF _Toc189054394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95" w:anchor="_Toc189054395" w:history="1">
        <w:r>
          <w:rPr>
            <w:rStyle w:val="1140"/>
          </w:rPr>
          <w:t xml:space="preserve">2.11.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Рассмотрение и оценка заявок участников.</w:t>
        </w:r>
        <w:r>
          <w:tab/>
        </w:r>
        <w:r>
          <w:fldChar w:fldCharType="begin"/>
        </w:r>
        <w:r>
          <w:instrText xml:space="preserve"> PAGEREF _Toc189054395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96" w:anchor="_Toc189054396" w:history="1">
        <w:r>
          <w:rPr>
            <w:rStyle w:val="1140"/>
          </w:rPr>
          <w:t xml:space="preserve">2.11.1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Общая часть:</w:t>
        </w:r>
        <w:r>
          <w:tab/>
        </w:r>
        <w:r>
          <w:fldChar w:fldCharType="begin"/>
        </w:r>
        <w:r>
          <w:instrText xml:space="preserve"> PAGEREF _Toc189</w:instrText>
        </w:r>
        <w:r>
          <w:instrText xml:space="preserve">054396 \h 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97" w:anchor="_Toc189054397" w:history="1">
        <w:r>
          <w:rPr>
            <w:rStyle w:val="1140"/>
          </w:rPr>
          <w:t xml:space="preserve">2.11.2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Рассмотрение и оценка заявок участников.</w:t>
        </w:r>
        <w:r>
          <w:tab/>
        </w:r>
        <w:r>
          <w:fldChar w:fldCharType="begin"/>
        </w:r>
        <w:r>
          <w:instrText xml:space="preserve"> PAGEREF _Toc189054397 \h 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98" w:anchor="_Toc189054398" w:history="1">
        <w:r>
          <w:rPr>
            <w:rStyle w:val="1140"/>
          </w:rPr>
          <w:t xml:space="preserve">2.11.3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Дополнительные запросы разъяснений заявок Участников</w:t>
        </w:r>
        <w:r>
          <w:tab/>
        </w:r>
        <w:r>
          <w:fldChar w:fldCharType="begin"/>
        </w:r>
        <w:r>
          <w:instrText xml:space="preserve"> PAGEREF _Toc189054398 \h </w:instrText>
        </w:r>
        <w:r>
          <w:fldChar w:fldCharType="separate"/>
        </w:r>
        <w:r>
          <w:t xml:space="preserve">12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120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399" w:anchor="_Toc189054399" w:history="1">
        <w:r>
          <w:rPr>
            <w:rStyle w:val="1140"/>
          </w:rPr>
          <w:t xml:space="preserve">2.11.4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Применение преференций</w:t>
        </w:r>
        <w:r>
          <w:tab/>
        </w:r>
        <w:r>
          <w:fldChar w:fldCharType="begin"/>
        </w:r>
        <w:r>
          <w:instrText xml:space="preserve"> PAGEREF _Toc189054399 \h 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00" w:anchor="_Toc189054400" w:history="1">
        <w:r>
          <w:rPr>
            <w:rStyle w:val="1140"/>
          </w:rPr>
          <w:t xml:space="preserve">2.12.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Переторжка</w:t>
        </w:r>
        <w:r>
          <w:tab/>
        </w:r>
        <w:r>
          <w:fldChar w:fldCharType="begin"/>
        </w:r>
        <w:r>
          <w:instrText xml:space="preserve"> PAGEREF _Toc189054400 \h 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01" w:anchor="_Toc189054401" w:history="1">
        <w:r>
          <w:rPr>
            <w:rStyle w:val="1140"/>
          </w:rPr>
          <w:t xml:space="preserve">2.13.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Установление обеспечения исполнения обязат</w:t>
        </w:r>
        <w:r>
          <w:rPr>
            <w:rStyle w:val="1140"/>
          </w:rPr>
          <w:t xml:space="preserve">ельств по договору, в случае предложения победителем закупки (либо единственным участником, признанным соответствующим требованиям документации о закупке) аномально низкой цены относительно НМЦ.</w:t>
        </w:r>
        <w:r>
          <w:tab/>
        </w:r>
        <w:r>
          <w:fldChar w:fldCharType="begin"/>
        </w:r>
        <w:r>
          <w:instrText xml:space="preserve"> PAGEREF _Toc189054401 \h 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02" w:anchor="_Toc189054402" w:history="1">
        <w:r>
          <w:rPr>
            <w:rStyle w:val="1140"/>
          </w:rPr>
          <w:t xml:space="preserve">2.14.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Сопоставление заявок участников и подведение итогов.</w:t>
        </w:r>
        <w:r>
          <w:tab/>
        </w:r>
        <w:r>
          <w:fldChar w:fldCharType="begin"/>
        </w:r>
        <w:r>
          <w:instrText xml:space="preserve"> PAGEREF _Toc189054402 \h 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03" w:anchor="_Toc189054403" w:history="1">
        <w:r>
          <w:rPr>
            <w:rStyle w:val="1140"/>
          </w:rPr>
          <w:t xml:space="preserve">2.15.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Проведение преддоговорных переговоров.</w:t>
        </w:r>
        <w:r>
          <w:tab/>
        </w:r>
        <w:r>
          <w:fldChar w:fldCharType="begin"/>
        </w:r>
        <w:r>
          <w:instrText xml:space="preserve"> PAGEREF _Toc189054403 \h 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04" w:anchor="_Toc189054404" w:history="1">
        <w:r>
          <w:rPr>
            <w:rStyle w:val="1140"/>
          </w:rPr>
          <w:t xml:space="preserve">2.16.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Заключение договора.</w:t>
        </w:r>
        <w:r>
          <w:tab/>
        </w:r>
        <w:r>
          <w:fldChar w:fldCharType="begin"/>
        </w:r>
        <w:r>
          <w:instrText xml:space="preserve"> PAGEREF _Toc189054404 \h 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05" w:anchor="_Toc189054405" w:history="1">
        <w:r>
          <w:rPr>
            <w:rStyle w:val="1140"/>
          </w:rPr>
          <w:t xml:space="preserve">2.17.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Обеспечение исполнения обязательств по Договору победителем (единственным соответствующим участником)</w:t>
        </w:r>
        <w:r>
          <w:tab/>
        </w:r>
        <w:r>
          <w:fldChar w:fldCharType="begin"/>
        </w:r>
        <w:r>
          <w:instrText xml:space="preserve"> PAGEREF _Toc189054405 \h 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06" w:anchor="_Toc189054406" w:history="1">
        <w:r>
          <w:rPr>
            <w:rStyle w:val="1140"/>
          </w:rPr>
          <w:t xml:space="preserve">2.18</w:t>
        </w:r>
        <w:r>
          <w:rPr>
            <w:rStyle w:val="1140"/>
          </w:rPr>
          <w:t xml:space="preserve">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 PAGEREF _Toc189054406 \h 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4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054407" w:anchor="_Toc189054407" w:history="1">
        <w:r>
          <w:rPr>
            <w:rStyle w:val="1140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40"/>
          </w:rPr>
          <w:t xml:space="preserve">ТРЕБОВАНИЯ, ПРЕДЪЯВЛЯЕМЫЕ К УЧАСТНИКАМ ЗАКУПКИ</w:t>
        </w:r>
        <w:r>
          <w:tab/>
        </w:r>
        <w:r>
          <w:fldChar w:fldCharType="begin"/>
        </w:r>
        <w:r>
          <w:instrText xml:space="preserve"> PAGEREF _Toc189054407</w:instrText>
        </w:r>
        <w:r>
          <w:instrText xml:space="preserve"> \h 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08" w:anchor="_Toc189054408" w:history="1">
        <w:r>
          <w:rPr>
            <w:rStyle w:val="1140"/>
          </w:rPr>
          <w:t xml:space="preserve">3.1.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Общая часть.</w:t>
        </w:r>
        <w:r>
          <w:tab/>
        </w:r>
        <w:r>
          <w:fldChar w:fldCharType="begin"/>
        </w:r>
        <w:r>
          <w:instrText xml:space="preserve"> PAGEREF _Toc189054408 \h 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09" w:anchor="_Toc189054409" w:history="1">
        <w:r>
          <w:rPr>
            <w:rStyle w:val="1140"/>
          </w:rPr>
          <w:t xml:space="preserve">3.2.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Обязательные требования к участникам процедуры закупки.</w:t>
        </w:r>
        <w:r>
          <w:tab/>
        </w:r>
        <w:r>
          <w:fldChar w:fldCharType="begin"/>
        </w:r>
        <w:r>
          <w:instrText xml:space="preserve"> PAGEREF _Toc189054409 \h 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4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054410" w:anchor="_Toc189054410" w:history="1">
        <w:r>
          <w:rPr>
            <w:rStyle w:val="1140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40"/>
          </w:rPr>
          <w:t xml:space="preserve">ТРЕБОВАНИЯ К ЗАЯВКЕ НА УЧАСТИЕ В ЗАКУПКЕ.</w:t>
        </w:r>
        <w:r>
          <w:tab/>
        </w:r>
        <w:r>
          <w:fldChar w:fldCharType="begin"/>
        </w:r>
        <w:r>
          <w:instrText xml:space="preserve"> PAGEREF _Toc189054410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11" w:anchor="_Toc189054411" w:history="1">
        <w:r>
          <w:rPr>
            <w:rStyle w:val="1140"/>
          </w:rPr>
          <w:t xml:space="preserve">4.1.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Общие требования к заявке на участие в закупке.</w:t>
        </w:r>
        <w:r>
          <w:tab/>
        </w:r>
        <w:r>
          <w:fldChar w:fldCharType="begin"/>
        </w:r>
        <w:r>
          <w:instrText xml:space="preserve"> PAGEREF _T</w:instrText>
        </w:r>
        <w:r>
          <w:instrText xml:space="preserve">oc189054411 \h 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12" w:anchor="_Toc189054412" w:history="1">
        <w:r>
          <w:rPr>
            <w:rStyle w:val="1140"/>
          </w:rPr>
          <w:t xml:space="preserve">4.2.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Оформление заявки на участие, состав документов. Требования к документам, подтверждающим соответствие Участника з</w:t>
        </w:r>
        <w:r>
          <w:rPr>
            <w:rStyle w:val="1140"/>
          </w:rPr>
          <w:t xml:space="preserve">акупки.</w:t>
        </w:r>
        <w:r>
          <w:tab/>
        </w:r>
        <w:r>
          <w:fldChar w:fldCharType="begin"/>
        </w:r>
        <w:r>
          <w:instrText xml:space="preserve"> PAGEREF _Toc189054412 \h 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13" w:anchor="_Toc189054413" w:history="1">
        <w:r>
          <w:rPr>
            <w:rStyle w:val="1140"/>
          </w:rPr>
          <w:t xml:space="preserve">4.3.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Требования к описанию предложения участника закупки.</w:t>
        </w:r>
        <w:r>
          <w:tab/>
        </w:r>
        <w:r>
          <w:fldChar w:fldCharType="begin"/>
        </w:r>
        <w:r>
          <w:instrText xml:space="preserve"> PAGEREF _Toc189054413 \h 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14" w:anchor="_Toc189054414" w:history="1">
        <w:r>
          <w:rPr>
            <w:rStyle w:val="1140"/>
          </w:rPr>
          <w:t xml:space="preserve">4.4.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Срок действия заявки на участие в закупке.</w:t>
        </w:r>
        <w:r>
          <w:tab/>
        </w:r>
        <w:r>
          <w:fldChar w:fldCharType="begin"/>
        </w:r>
        <w:r>
          <w:instrText xml:space="preserve"> PAGEREF _Toc189054414 \h </w:instrText>
        </w:r>
        <w:r>
          <w:fldChar w:fldCharType="separate"/>
        </w:r>
        <w:r>
          <w:t xml:space="preserve">25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15" w:anchor="_Toc189054415" w:history="1">
        <w:r>
          <w:rPr>
            <w:rStyle w:val="1140"/>
          </w:rPr>
          <w:t xml:space="preserve">4.5.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Требования к языку Заявки.</w:t>
        </w:r>
        <w:r>
          <w:tab/>
        </w:r>
        <w:r>
          <w:fldChar w:fldCharType="begin"/>
        </w:r>
        <w:r>
          <w:instrText xml:space="preserve"> PAGEREF _Toc189054415 \h </w:instrText>
        </w:r>
        <w:r>
          <w:fldChar w:fldCharType="separate"/>
        </w:r>
        <w:r>
          <w:t xml:space="preserve">25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16" w:anchor="_Toc189054416" w:history="1">
        <w:r>
          <w:rPr>
            <w:rStyle w:val="1140"/>
          </w:rPr>
          <w:t xml:space="preserve">4.6.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Валюта закупки.</w:t>
        </w:r>
        <w:r>
          <w:tab/>
        </w:r>
        <w:r>
          <w:fldChar w:fldCharType="begin"/>
        </w:r>
        <w:r>
          <w:instrText xml:space="preserve"> </w:instrText>
        </w:r>
        <w:r>
          <w:instrText xml:space="preserve">PAGEREF _Toc189054416 \h </w:instrText>
        </w:r>
        <w:r>
          <w:fldChar w:fldCharType="separate"/>
        </w:r>
        <w:r>
          <w:t xml:space="preserve">25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17" w:anchor="_Toc189054417" w:history="1">
        <w:r>
          <w:rPr>
            <w:rStyle w:val="1140"/>
          </w:rPr>
          <w:t xml:space="preserve">4.7.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Начальная (максимальная) цена договора (начальная (максимальная) цена закупки) - НМЦ.</w:t>
        </w:r>
        <w:r>
          <w:tab/>
        </w:r>
        <w:r>
          <w:fldChar w:fldCharType="begin"/>
        </w:r>
        <w:r>
          <w:instrText xml:space="preserve"> PAGEREF _Toc1890</w:instrText>
        </w:r>
        <w:r>
          <w:instrText xml:space="preserve">54417 \h </w:instrText>
        </w:r>
        <w:r>
          <w:fldChar w:fldCharType="separate"/>
        </w:r>
        <w:r>
          <w:t xml:space="preserve">25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5"/>
        <w:tabs>
          <w:tab w:val="left" w:pos="960" w:leader="none"/>
          <w:tab w:val="right" w:pos="9914" w:leader="dot"/>
        </w:tabs>
        <w:rPr>
          <w:rFonts w:asciiTheme="minorHAnsi" w:hAnsiTheme="minorHAnsi" w:eastAsiaTheme="minorEastAsia" w:cstheme="minorBidi"/>
          <w:smallCaps w:val="0"/>
          <w:sz w:val="22"/>
          <w:szCs w:val="22"/>
        </w:rPr>
      </w:pPr>
      <w:r/>
      <w:hyperlink w:tooltip="#_Toc189054418" w:anchor="_Toc189054418" w:history="1">
        <w:r>
          <w:rPr>
            <w:rStyle w:val="1140"/>
          </w:rPr>
          <w:t xml:space="preserve">4.8.</w:t>
        </w:r>
        <w:r>
          <w:rPr>
            <w:rFonts w:asciiTheme="minorHAnsi" w:hAnsiTheme="minorHAnsi" w:eastAsiaTheme="minorEastAsia" w:cstheme="minorBidi"/>
            <w:smallCaps w:val="0"/>
            <w:sz w:val="22"/>
            <w:szCs w:val="22"/>
          </w:rPr>
          <w:tab/>
        </w:r>
        <w:r>
          <w:rPr>
            <w:rStyle w:val="1140"/>
          </w:rPr>
          <w:t xml:space="preserve">Участие в запросе предложений коллективных участников (группы лиц).</w:t>
        </w:r>
        <w:r>
          <w:tab/>
        </w:r>
        <w:r>
          <w:fldChar w:fldCharType="begin"/>
        </w:r>
        <w:r>
          <w:instrText xml:space="preserve"> PAGEREF _Toc189054418 \h </w:instrText>
        </w:r>
        <w:r>
          <w:fldChar w:fldCharType="separate"/>
        </w:r>
        <w:r>
          <w:t xml:space="preserve">26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  <w:r>
        <w:rPr>
          <w:rFonts w:asciiTheme="minorHAnsi" w:hAnsiTheme="minorHAnsi" w:eastAsiaTheme="minorEastAsia" w:cstheme="minorBidi"/>
          <w:smallCaps w:val="0"/>
          <w:sz w:val="22"/>
          <w:szCs w:val="22"/>
        </w:rPr>
      </w:r>
    </w:p>
    <w:p>
      <w:pPr>
        <w:pStyle w:val="1104"/>
        <w:tabs>
          <w:tab w:val="left" w:pos="480" w:leader="none"/>
          <w:tab w:val="right" w:pos="9914" w:leader="dot"/>
        </w:tabs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pPr>
      <w:r/>
      <w:hyperlink w:tooltip="#_Toc189054419" w:anchor="_Toc189054419" w:history="1">
        <w:r>
          <w:rPr>
            <w:rStyle w:val="1140"/>
          </w:rPr>
          <w:t xml:space="preserve">II.</w:t>
        </w:r>
        <w:r>
          <w:rPr>
            <w:rFonts w:asciiTheme="minorHAnsi" w:hAnsiTheme="minorHAnsi" w:eastAsiaTheme="minorEastAsia" w:cstheme="minorBidi"/>
            <w:b w:val="0"/>
            <w:bCs w:val="0"/>
            <w:caps w:val="0"/>
            <w:sz w:val="22"/>
            <w:szCs w:val="22"/>
          </w:rPr>
          <w:tab/>
        </w:r>
        <w:r>
          <w:rPr>
            <w:rStyle w:val="1140"/>
          </w:rPr>
          <w:t xml:space="preserve">ОБРАЗЦЫ ФОРМ ДЛЯ ЗАПОЛНЕНИЯ УЧАСТНИКАМИ ЗАКУПКИ</w:t>
        </w:r>
        <w:r>
          <w:tab/>
        </w:r>
        <w:r>
          <w:fldChar w:fldCharType="begin"/>
        </w:r>
        <w:r>
          <w:instrText xml:space="preserve"> PAGEREF _Toc189054419 \h 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caps w:val="0"/>
          <w:sz w:val="22"/>
          <w:szCs w:val="22"/>
        </w:rPr>
      </w:r>
    </w:p>
    <w:p>
      <w:pPr>
        <w:pStyle w:val="913"/>
        <w:ind w:left="0" w:firstLine="0"/>
        <w:jc w:val="both"/>
        <w:keepNext w:val="0"/>
        <w:spacing w:before="0" w:after="0"/>
        <w:widowControl w:val="off"/>
        <w:tabs>
          <w:tab w:val="clear" w:pos="432" w:leader="none"/>
        </w:tabs>
        <w:rPr>
          <w:b w:val="0"/>
          <w:bCs w:val="0"/>
          <w:i/>
          <w:iCs/>
          <w:caps/>
          <w:smallCaps/>
          <w:sz w:val="24"/>
          <w:szCs w:val="24"/>
        </w:rPr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>
        <w:rPr>
          <w:b w:val="0"/>
          <w:bCs w:val="0"/>
          <w:i/>
          <w:iCs/>
          <w:caps/>
          <w:smallCaps/>
          <w:sz w:val="24"/>
          <w:szCs w:val="24"/>
        </w:rPr>
      </w:r>
      <w:r>
        <w:rPr>
          <w:b w:val="0"/>
          <w:bCs w:val="0"/>
          <w:i/>
          <w:iCs/>
          <w:caps/>
          <w:smallCaps/>
          <w:sz w:val="24"/>
          <w:szCs w:val="24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pStyle w:val="913"/>
        <w:numPr>
          <w:ilvl w:val="0"/>
          <w:numId w:val="6"/>
        </w:numPr>
        <w:ind w:left="0" w:firstLine="0"/>
        <w:keepNext w:val="0"/>
        <w:spacing w:before="0" w:after="0"/>
        <w:widowControl w:val="off"/>
        <w:rPr>
          <w:rStyle w:val="1215"/>
          <w:b/>
          <w:bCs/>
          <w:caps/>
          <w:sz w:val="24"/>
          <w:szCs w:val="24"/>
        </w:rPr>
      </w:pPr>
      <w:r/>
      <w:bookmarkStart w:id="3" w:name="_Ref166642713"/>
      <w:r/>
      <w:bookmarkStart w:id="4" w:name="_Toc189054377"/>
      <w:r>
        <w:rPr>
          <w:rStyle w:val="12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>
        <w:rPr>
          <w:rStyle w:val="1215"/>
          <w:b/>
          <w:bCs/>
          <w:caps/>
          <w:sz w:val="24"/>
          <w:szCs w:val="24"/>
        </w:rPr>
        <w:t xml:space="preserve">закупки</w:t>
      </w:r>
      <w:bookmarkEnd w:id="4"/>
      <w:r>
        <w:rPr>
          <w:rStyle w:val="1215"/>
          <w:b/>
          <w:bCs/>
          <w:caps/>
          <w:sz w:val="24"/>
          <w:szCs w:val="24"/>
        </w:rPr>
      </w:r>
      <w:r>
        <w:rPr>
          <w:rStyle w:val="1215"/>
          <w:b/>
          <w:bCs/>
          <w:caps/>
          <w:sz w:val="24"/>
          <w:szCs w:val="24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pStyle w:val="913"/>
        <w:numPr>
          <w:ilvl w:val="0"/>
          <w:numId w:val="1"/>
        </w:numPr>
        <w:ind w:left="0" w:firstLine="0"/>
        <w:jc w:val="both"/>
        <w:keepNext w:val="0"/>
        <w:spacing w:before="0" w:after="0"/>
        <w:widowControl w:val="off"/>
        <w:rPr>
          <w:sz w:val="24"/>
          <w:szCs w:val="24"/>
        </w:rPr>
      </w:pPr>
      <w:r/>
      <w:bookmarkStart w:id="5" w:name="_Toc123405451"/>
      <w:r/>
      <w:bookmarkStart w:id="6" w:name="_Toc166101206"/>
      <w:r/>
      <w:bookmarkStart w:id="7" w:name="_Ref166101247"/>
      <w:r/>
      <w:bookmarkStart w:id="8" w:name="_Ref166101251"/>
      <w:r/>
      <w:bookmarkStart w:id="9" w:name="_Toc189054378"/>
      <w:r>
        <w:rPr>
          <w:sz w:val="24"/>
          <w:szCs w:val="24"/>
        </w:rPr>
        <w:t xml:space="preserve">ОБЩИЕ ПОЛОЖЕНИЯ</w:t>
      </w:r>
      <w:bookmarkEnd w:id="5"/>
      <w:r/>
      <w:bookmarkEnd w:id="6"/>
      <w:r/>
      <w:bookmarkEnd w:id="7"/>
      <w:r/>
      <w:bookmarkEnd w:id="8"/>
      <w:r/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4"/>
        <w:numPr>
          <w:ilvl w:val="1"/>
          <w:numId w:val="1"/>
        </w:numPr>
        <w:ind w:left="0" w:firstLine="0"/>
        <w:jc w:val="left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0" w:name="_Toc189054379"/>
      <w:r>
        <w:rPr>
          <w:sz w:val="24"/>
          <w:szCs w:val="24"/>
        </w:rPr>
        <w:t xml:space="preserve">Общие сведения о Закупке.</w:t>
      </w:r>
      <w:bookmarkEnd w:id="10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911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3058"/>
        <w:gridCol w:w="6317"/>
      </w:tblGrid>
      <w:tr>
        <w:trPr/>
        <w:tc>
          <w:tcPr>
            <w:tcW w:w="29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 xml:space="preserve">п</w:t>
            </w:r>
            <w:r>
              <w:rPr>
                <w:b/>
              </w:rPr>
              <w:t xml:space="preserve">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3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7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  <w:t xml:space="preserve">Информация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W w:w="29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35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Требования к безопасности, качеству, техническим и функциональным характеристикам товара к размерам, упаковке, отгрузке товара, </w:t>
            </w:r>
            <w:r>
              <w:rPr>
                <w:bCs/>
                <w:color w:val="000000" w:themeColor="text1"/>
              </w:rPr>
              <w:t xml:space="preserve">а также иные требования, связанные с определением соответствия поставляемого товара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7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Приложении № 1 «Техническое задание», Приложении № 2 «Проект договора» к настоящей Документации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W w:w="29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2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35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Требования к участникам закупки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7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разделе </w:t>
            </w:r>
            <w:r>
              <w:rPr>
                <w:color w:val="000000" w:themeColor="text1"/>
              </w:rPr>
              <w:t xml:space="preserve">3 настоящей Документации, Приложении № 1 «Техническое задание» к настоящей Документации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W w:w="29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3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35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Требования к привлекаемым участниками закупки субподрядчикам, соисполнителям.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7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i/>
                <w:color w:val="000000" w:themeColor="text1"/>
              </w:rPr>
            </w:pPr>
            <w:r>
              <w:rPr>
                <w:color w:val="000000"/>
              </w:rPr>
              <w:t xml:space="preserve">Привлечение субподрядчиков/соисполнителей не допускается.</w:t>
            </w:r>
            <w:r>
              <w:rPr>
                <w:i/>
                <w:color w:val="000000" w:themeColor="text1"/>
              </w:rPr>
            </w:r>
            <w:r>
              <w:rPr>
                <w:i/>
                <w:color w:val="000000" w:themeColor="text1"/>
              </w:rPr>
            </w:r>
          </w:p>
        </w:tc>
      </w:tr>
      <w:tr>
        <w:trPr/>
        <w:tc>
          <w:tcPr>
            <w:tcW w:w="29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35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Требования к содержанию, ф</w:t>
            </w:r>
            <w:r>
              <w:rPr>
                <w:color w:val="000000" w:themeColor="text1"/>
              </w:rPr>
              <w:t xml:space="preserve">орме, оформлению и составу заявки на участие в закупке, а также к описанию поставляемого участниками товара и его  характеристик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7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разделе 4 настоящей Документации, Приложении № 1 «Техническое задание» к настоящей Документации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W w:w="29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5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35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Критерии и порядок оценки и сопоставления заявок на участие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7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Указаны в настоящей Документации, а также </w:t>
            </w:r>
            <w:r>
              <w:rPr>
                <w:color w:val="000000" w:themeColor="text1"/>
              </w:rPr>
              <w:t xml:space="preserve">Приложении</w:t>
            </w:r>
            <w:r>
              <w:rPr>
                <w:color w:val="000000" w:themeColor="text1"/>
              </w:rPr>
              <w:t xml:space="preserve"> № 1 «Техническое задание»  к настоящей Документации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W w:w="29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6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35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t xml:space="preserve">Извещение о проведении запроса предложений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70" w:type="pct"/>
            <w:vAlign w:val="center"/>
            <w:textDirection w:val="lrTb"/>
            <w:noWrap w:val="false"/>
          </w:tcPr>
          <w:p>
            <w:pPr>
              <w:pStyle w:val="1233"/>
              <w:ind w:left="0"/>
              <w:jc w:val="both"/>
              <w:widowControl w:val="off"/>
            </w:pPr>
            <w:r>
              <w:t xml:space="preserve">Извещение о проведении запроса предложений яв</w:t>
            </w:r>
            <w:r>
              <w:t xml:space="preserve">ляется неотъемлемой частью настоящей документации.</w:t>
            </w:r>
            <w:r/>
          </w:p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W w:w="29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7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35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Обоснование начальной (максимальной) цены договора либо единицы товара, работы, услуги, включая информацию о расходах</w:t>
            </w:r>
            <w:r/>
          </w:p>
        </w:tc>
        <w:tc>
          <w:tcPr>
            <w:tcW w:w="3170" w:type="pct"/>
            <w:vAlign w:val="center"/>
            <w:textDirection w:val="lrTb"/>
            <w:noWrap w:val="false"/>
          </w:tcPr>
          <w:p>
            <w:pPr>
              <w:pStyle w:val="1233"/>
              <w:ind w:left="0"/>
              <w:jc w:val="both"/>
              <w:widowControl w:val="off"/>
            </w:pPr>
            <w:r>
              <w:t xml:space="preserve">Указано в Приложении № 6 к настоящей Документации</w:t>
            </w:r>
            <w:r/>
          </w:p>
        </w:tc>
      </w:tr>
      <w:tr>
        <w:trPr/>
        <w:tc>
          <w:tcPr>
            <w:tcW w:w="29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8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35" w:type="pct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Иные сведения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317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Остальные и более подробные условия проведения закупки содержатся в соответствующих разделах настоящей Документации.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pStyle w:val="914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1" w:name="_Toc189054380"/>
      <w:r>
        <w:rPr>
          <w:sz w:val="24"/>
          <w:szCs w:val="24"/>
        </w:rPr>
        <w:t xml:space="preserve">Правовой статус документов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/>
      <w:bookmarkStart w:id="12" w:name="_Ref119427085"/>
      <w:r/>
      <w:bookmarkStart w:id="13" w:name="_Ref11225299"/>
      <w:r>
        <w:t xml:space="preserve">Настоящая Документация подготовлена в соответствии </w:t>
      </w:r>
      <w:bookmarkEnd w:id="12"/>
      <w:r>
        <w:t xml:space="preserve">с требованиями Федерального закона от </w:t>
      </w:r>
      <w:r>
        <w:t xml:space="preserve">18.07.2011 № 223-ФЗ «О закупке товаров, работ, услуг отдельными видами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</w:t>
      </w:r>
      <w:r>
        <w:t xml:space="preserve">ательство о закупках отдельными видами юридических лиц) и положениями Единого стандарта закупок ПАО «</w:t>
      </w:r>
      <w:r>
        <w:t xml:space="preserve">Россети</w:t>
      </w:r>
      <w:r>
        <w:t xml:space="preserve">» (далее – Стандарт, Положение о закупке), решение о присоединении</w:t>
      </w:r>
      <w:r>
        <w:t xml:space="preserve"> к </w:t>
      </w:r>
      <w:r>
        <w:t xml:space="preserve">которому</w:t>
      </w:r>
      <w:r>
        <w:t xml:space="preserve"> принято Советом Директоров ПАО «</w:t>
      </w:r>
      <w:r>
        <w:t xml:space="preserve">Россети</w:t>
      </w:r>
      <w:r>
        <w:t xml:space="preserve"> Московский регион» (выписка из</w:t>
      </w:r>
      <w:r>
        <w:t xml:space="preserve"> протокола заседания Совета Директоров от 03.01.2023 №563).</w:t>
      </w:r>
      <w:r/>
    </w:p>
    <w:p>
      <w:pPr>
        <w:pStyle w:val="1233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Термины и определения, применяемые в настоящей Документации и приложениях к ней, используются в значениях, установленных законодательством о закупках отдельными видами юридических лиц, а также в с</w:t>
      </w:r>
      <w:r>
        <w:t xml:space="preserve">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233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Заявка участника Закупки, поданная в соответствии с установленными требованиями, имеет правовой статус оферты и </w:t>
      </w:r>
      <w:r>
        <w:t xml:space="preserve">будет рассматриваться Организатором в соответствии с этим.</w:t>
      </w:r>
      <w:r/>
    </w:p>
    <w:p>
      <w:pPr>
        <w:pStyle w:val="1233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Во всем, что не урегулировано Извещением о закупке и настоящей Документацией, стороны руководствуются законодательством о закупках отдельными видами юридических лиц, Гражданским кодексом Российской</w:t>
      </w:r>
      <w:r>
        <w:t xml:space="preserve"> Федерации, Положением о закупке Заказчика.</w:t>
      </w:r>
      <w:r/>
    </w:p>
    <w:p>
      <w:pPr>
        <w:pStyle w:val="1233"/>
        <w:numPr>
          <w:ilvl w:val="2"/>
          <w:numId w:val="1"/>
        </w:numPr>
        <w:ind w:left="0"/>
        <w:jc w:val="both"/>
        <w:widowControl w:val="off"/>
        <w:tabs>
          <w:tab w:val="num" w:pos="284" w:leader="none"/>
        </w:tabs>
      </w:pPr>
      <w:r>
        <w:t xml:space="preserve"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</w:t>
      </w:r>
      <w:r>
        <w:t xml:space="preserve">лем будут считаться приоритетными по отношению к диспозитивным нормам указанных актов.</w:t>
      </w:r>
      <w:r/>
    </w:p>
    <w:p>
      <w:pPr>
        <w:pStyle w:val="1233"/>
        <w:ind w:left="0"/>
        <w:jc w:val="both"/>
        <w:widowControl w:val="off"/>
      </w:pPr>
      <w:r/>
      <w:r/>
    </w:p>
    <w:p>
      <w:pPr>
        <w:pStyle w:val="914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4" w:name="_Toc189054381"/>
      <w:r>
        <w:rPr>
          <w:sz w:val="24"/>
          <w:szCs w:val="24"/>
        </w:rPr>
        <w:t xml:space="preserve">Обжалование.</w:t>
      </w:r>
      <w:bookmarkEnd w:id="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6"/>
        <w:numPr>
          <w:ilvl w:val="2"/>
          <w:numId w:val="1"/>
        </w:numPr>
        <w:ind w:left="0" w:firstLine="0"/>
        <w:widowControl w:val="off"/>
        <w:tabs>
          <w:tab w:val="num" w:pos="284" w:leader="none"/>
          <w:tab w:val="num" w:pos="1134" w:leader="none"/>
        </w:tabs>
      </w:pPr>
      <w:r>
        <w:t xml:space="preserve">Все споры и разногласия, возникающие в связи с проведением Запроса предложений, в том числе касающиеся исполнения Организатором и Участниками своих обязате</w:t>
      </w:r>
      <w:r>
        <w:t xml:space="preserve">ль</w:t>
      </w:r>
      <w:r>
        <w:t xml:space="preserve">ств в св</w:t>
      </w:r>
      <w:r>
        <w:t xml:space="preserve">язи с проведением Запроса предложений и участия в нем,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стороне, при этом уполномочен</w:t>
      </w:r>
      <w:r>
        <w:t xml:space="preserve">ным представителем ПАО «</w:t>
      </w:r>
      <w:r>
        <w:t xml:space="preserve">Россети</w:t>
      </w:r>
      <w:r>
        <w:t xml:space="preserve"> Московский регион» в рамках данного пункта выступает уполномоченный закупочный орган Организатора</w:t>
      </w:r>
      <w:r>
        <w:rPr>
          <w:bCs/>
        </w:rPr>
        <w:t xml:space="preserve">. Сторона, получившая претензию, должна направить другой стороне мотивированный ответ в течение 30 дней с момента получения пре</w:t>
      </w:r>
      <w:r>
        <w:rPr>
          <w:bCs/>
        </w:rPr>
        <w:t xml:space="preserve">тензии.</w:t>
      </w:r>
      <w:r/>
    </w:p>
    <w:p>
      <w:pPr>
        <w:pStyle w:val="1216"/>
        <w:numPr>
          <w:ilvl w:val="2"/>
          <w:numId w:val="1"/>
        </w:numPr>
        <w:ind w:left="0" w:firstLine="0"/>
        <w:widowControl w:val="off"/>
        <w:tabs>
          <w:tab w:val="num" w:pos="284" w:leader="none"/>
          <w:tab w:val="num" w:pos="1134" w:leader="none"/>
        </w:tabs>
        <w:rPr>
          <w:bCs/>
        </w:rPr>
      </w:pPr>
      <w:r>
        <w:rPr>
          <w:bCs/>
        </w:rPr>
        <w:t xml:space="preserve">Если претензионный порядок, не привёл к разрешению разногласий, Участники имеют право </w:t>
      </w:r>
      <w:r>
        <w:t xml:space="preserve">обжаловать действия (бездействия) Организатора закупки, Заказчика в связи с проведением данной закупки, в порядке, предусмотренным действующим законодательством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16"/>
        <w:numPr>
          <w:ilvl w:val="2"/>
          <w:numId w:val="1"/>
        </w:numPr>
        <w:ind w:left="0" w:firstLine="0"/>
        <w:widowControl w:val="off"/>
        <w:tabs>
          <w:tab w:val="num" w:pos="284" w:leader="none"/>
          <w:tab w:val="num" w:pos="1134" w:leader="none"/>
        </w:tabs>
      </w:pPr>
      <w:r>
        <w:t xml:space="preserve">Все </w:t>
      </w:r>
      <w:r>
        <w:rPr>
          <w:bCs/>
        </w:rPr>
        <w:t xml:space="preserve">споры</w:t>
      </w:r>
      <w:r>
        <w:t xml:space="preserve"> и разногласия, возникающие в связи с проведением Запроса предложений, в том числе касающиеся исполнения Организатором и Участниками своих обязательств, могут быть решены в Арбитражном суде </w:t>
      </w:r>
      <w:r>
        <w:rPr>
          <w:iCs/>
        </w:rPr>
        <w:t xml:space="preserve">г. Москвы</w:t>
      </w:r>
      <w:r>
        <w:t xml:space="preserve">. </w:t>
      </w:r>
      <w:r/>
    </w:p>
    <w:p>
      <w:pPr>
        <w:pStyle w:val="1233"/>
        <w:ind w:left="0"/>
        <w:jc w:val="both"/>
        <w:widowControl w:val="off"/>
        <w:tabs>
          <w:tab w:val="left" w:pos="1134" w:leader="none"/>
        </w:tabs>
      </w:pPr>
      <w:r/>
      <w:r/>
    </w:p>
    <w:p>
      <w:pPr>
        <w:pStyle w:val="914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5" w:name="_Toc189054382"/>
      <w:r>
        <w:rPr>
          <w:sz w:val="24"/>
          <w:szCs w:val="24"/>
        </w:rPr>
        <w:t xml:space="preserve">Прочие положения.</w:t>
      </w:r>
      <w:bookmarkEnd w:id="1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2"/>
          <w:numId w:val="1"/>
        </w:numPr>
        <w:ind w:left="0"/>
        <w:jc w:val="both"/>
        <w:widowControl w:val="off"/>
        <w:tabs>
          <w:tab w:val="left" w:pos="1134" w:leader="none"/>
        </w:tabs>
      </w:pPr>
      <w:r>
        <w:t xml:space="preserve">Организатор закупки обеспе</w:t>
      </w:r>
      <w:r>
        <w:t xml:space="preserve">чивает разумную конфиденциальность относительно всех полученных от Участников закупки сведений, в том числе содержащихся в заявках на участие в закупке. Предоставление этой информации третьим лицам возможно только в случаях, прямо предусмотренных законодат</w:t>
      </w:r>
      <w:r>
        <w:t xml:space="preserve">ельством Российской Федерации или настоящей Документацией о закупке.</w:t>
      </w:r>
      <w:r/>
    </w:p>
    <w:p>
      <w:pPr>
        <w:pStyle w:val="1233"/>
        <w:numPr>
          <w:ilvl w:val="2"/>
          <w:numId w:val="1"/>
        </w:numPr>
        <w:ind w:left="0"/>
        <w:jc w:val="both"/>
        <w:widowControl w:val="off"/>
        <w:tabs>
          <w:tab w:val="left" w:pos="1134" w:leader="none"/>
        </w:tabs>
      </w:pPr>
      <w:r>
        <w:t xml:space="preserve">В случае</w:t>
      </w:r>
      <w:r>
        <w:t xml:space="preserve">,</w:t>
      </w:r>
      <w:r>
        <w:t xml:space="preserve"> если срок исполнения какого-либо действия, наступления какого-либо события выпадает на выходной и/или праздничный день и/или нерабочий день, то данное действие/событие признаетс</w:t>
      </w:r>
      <w:r>
        <w:t xml:space="preserve">я наступившим и подлежащим выполнению в первый рабочий день, следующий за таким выходным и/или праздничным и/или нерабочим днем.</w:t>
      </w:r>
      <w:r/>
    </w:p>
    <w:p>
      <w:pPr>
        <w:numPr>
          <w:ilvl w:val="2"/>
          <w:numId w:val="1"/>
        </w:numPr>
        <w:ind w:left="0"/>
        <w:spacing w:after="0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Закупочная комиссия (далее – Комиссия) отклоняет заявку участника, если она установит, что Участник Запроса предложений прямо и</w:t>
      </w:r>
      <w:r>
        <w:rPr>
          <w:bCs/>
        </w:rPr>
        <w:t xml:space="preserve">ли косвенно дал, согласился дать или предложил работнику Организатора Запроса предложений вознаграждение в любой форме: </w:t>
      </w:r>
      <w:r>
        <w:rPr>
          <w:bCs/>
        </w:rPr>
        <w:t xml:space="preserve">работу, услугу, какую-либо ценность, в качестве стимула, который может повлиять на принятие Комиссией решения по определению победителя </w:t>
      </w:r>
      <w:r>
        <w:rPr>
          <w:bCs/>
        </w:rPr>
        <w:t xml:space="preserve">Запроса предложений.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/>
        <w:spacing w:after="0"/>
        <w:widowControl w:val="off"/>
        <w:tabs>
          <w:tab w:val="left" w:pos="1134" w:leader="none"/>
        </w:tabs>
        <w:rPr>
          <w:bCs/>
        </w:rPr>
      </w:pPr>
      <w:r>
        <w:rPr>
          <w:bCs/>
        </w:rPr>
        <w:t xml:space="preserve">Комиссия вправе отклонить заявки участников Запроса предложений, заключивших между собой какое-либо соглашение с целью повлиять на определение победителя Запроса предложений.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14"/>
        <w:numPr>
          <w:ilvl w:val="1"/>
          <w:numId w:val="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  <w:tab w:val="clear" w:pos="576" w:leader="none"/>
        </w:tabs>
        <w:rPr>
          <w:sz w:val="24"/>
          <w:szCs w:val="24"/>
        </w:rPr>
      </w:pPr>
      <w:r/>
      <w:bookmarkStart w:id="16" w:name="_Toc189054383"/>
      <w:r>
        <w:rPr>
          <w:sz w:val="24"/>
          <w:szCs w:val="24"/>
        </w:rPr>
        <w:t xml:space="preserve">Антикоррупционная политика.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2"/>
          <w:numId w:val="1"/>
        </w:numPr>
        <w:ind w:left="0"/>
        <w:jc w:val="both"/>
        <w:widowControl w:val="off"/>
        <w:tabs>
          <w:tab w:val="left" w:pos="1134" w:leader="none"/>
        </w:tabs>
        <w:rPr>
          <w:b/>
        </w:rPr>
      </w:pPr>
      <w:r>
        <w:t xml:space="preserve">В ПАО «</w:t>
      </w:r>
      <w:r>
        <w:t xml:space="preserve">Россети</w:t>
      </w:r>
      <w:r>
        <w:t xml:space="preserve"> Московский регион» действует антикоррупционный стандарт закупочной деятельности (приложение № 4 к Единому стандарту закупок ПАО «</w:t>
      </w:r>
      <w:r>
        <w:t xml:space="preserve">Россети</w:t>
      </w:r>
      <w:r>
        <w:t xml:space="preserve">»). </w:t>
      </w:r>
      <w:r>
        <w:t xml:space="preserve">Ознакомиться с антикоррупционной политикой Общества можно на официальном сайте ПАО «</w:t>
      </w:r>
      <w:r>
        <w:t xml:space="preserve">Россети</w:t>
      </w:r>
      <w:r>
        <w:t xml:space="preserve">» по адресу: https://www</w:t>
      </w:r>
      <w:r>
        <w:t xml:space="preserve">.rosseti.ru/sustainable-development/anti-corruption-policy/).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13"/>
        <w:numPr>
          <w:ilvl w:val="0"/>
          <w:numId w:val="1"/>
        </w:numPr>
        <w:ind w:left="0" w:firstLine="0"/>
        <w:jc w:val="both"/>
        <w:keepNext w:val="0"/>
        <w:spacing w:before="0" w:after="0"/>
        <w:widowControl w:val="off"/>
        <w:rPr>
          <w:sz w:val="24"/>
          <w:szCs w:val="24"/>
        </w:rPr>
      </w:pPr>
      <w:r/>
      <w:bookmarkStart w:id="17" w:name="_Toc189054384"/>
      <w:r>
        <w:rPr>
          <w:sz w:val="24"/>
          <w:szCs w:val="24"/>
        </w:rPr>
        <w:t xml:space="preserve">ПОРЯДОК ПРОВЕДЕНИЯ ЗАКУПКИ</w:t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4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18" w:name="_Toc189054385"/>
      <w:r>
        <w:rPr>
          <w:sz w:val="24"/>
          <w:szCs w:val="24"/>
        </w:rPr>
        <w:t xml:space="preserve">Общий порядок проведения Закупки</w:t>
      </w:r>
      <w:bookmarkEnd w:id="1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2"/>
        <w:numPr>
          <w:ilvl w:val="2"/>
          <w:numId w:val="11"/>
        </w:numPr>
        <w:ind w:left="0" w:firstLine="0"/>
        <w:widowControl w:val="off"/>
        <w:tabs>
          <w:tab w:val="num" w:pos="284" w:leader="none"/>
          <w:tab w:val="clear" w:pos="720" w:leader="none"/>
          <w:tab w:val="num" w:pos="851" w:leader="none"/>
        </w:tabs>
        <w:rPr>
          <w:szCs w:val="24"/>
        </w:rPr>
      </w:pPr>
      <w:r>
        <w:rPr>
          <w:szCs w:val="24"/>
        </w:rPr>
        <w:t xml:space="preserve">Запрос предложений проводится в следующем порядке: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публикация Документации и Извещения (п. 2.2.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и</w:t>
      </w:r>
      <w:r>
        <w:rPr>
          <w:szCs w:val="24"/>
        </w:rPr>
        <w:t xml:space="preserve">зучение Документации, затраты на участие в закупке (п. 2.3.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разъяснение положений Документации (при необходимости) (п. 2.4.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внесение изменений в Документацию (п. 2.5.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обеспечение заявки на участие в закупке (п. 2.6.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подача заявок и их прием (п. 2.7.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изменение и отзыв заявки на участие в закупке (п. 2.8.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отмена закупки (п. 2.9. настоящей Документа</w:t>
      </w:r>
      <w:r>
        <w:rPr>
          <w:szCs w:val="24"/>
        </w:rPr>
        <w:t xml:space="preserve">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вскрытие заявок (п. 2.10.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рассмотрение и оценка заявок участников (п. 2.11.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переторжка (в случае если данная процедура предусмотрена Извещением и настоящей Документацией / либо Комиссией принято решен</w:t>
      </w:r>
      <w:r>
        <w:rPr>
          <w:szCs w:val="24"/>
        </w:rPr>
        <w:t xml:space="preserve">ие о проведении повторной процедуры в рамках этапа рассмотрения заявок участников) (п. 2.12.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установление обеспечения исполнения обязательств по договору, в случае предложения победителем закупки (либо единственным участником, приз</w:t>
      </w:r>
      <w:r>
        <w:rPr>
          <w:szCs w:val="24"/>
        </w:rPr>
        <w:t xml:space="preserve">нанным соответствующим требованиям документации о закупке) аномально низкой цены относительно НМЦ (п. 2.13. настоящей Документации)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</w:tabs>
        <w:rPr>
          <w:szCs w:val="24"/>
        </w:rPr>
      </w:pPr>
      <w:r>
        <w:rPr>
          <w:szCs w:val="24"/>
        </w:rPr>
        <w:t xml:space="preserve">сопоставление заявок участников и подведение итогов (п. 2.14.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проведение преддоговорных переговоров</w:t>
      </w:r>
      <w:r>
        <w:rPr>
          <w:szCs w:val="24"/>
        </w:rPr>
        <w:t xml:space="preserve"> (при необходимости) (п. 2.15.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заключение договора (п. 2.16.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обеспечение исполнения обязательств по Договору победителем (п. 2.17. настоящей Документации);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10"/>
        </w:numPr>
        <w:ind w:left="0" w:firstLine="0"/>
        <w:widowControl w:val="off"/>
        <w:tabs>
          <w:tab w:val="num" w:pos="284" w:leader="none"/>
          <w:tab w:val="num" w:pos="1134" w:leader="none"/>
          <w:tab w:val="clear" w:pos="1440" w:leader="none"/>
          <w:tab w:val="left" w:pos="5925" w:leader="none"/>
        </w:tabs>
        <w:rPr>
          <w:szCs w:val="24"/>
        </w:rPr>
      </w:pPr>
      <w:r>
        <w:rPr>
          <w:szCs w:val="24"/>
        </w:rPr>
        <w:t xml:space="preserve">изменение и расторжение договора (п. 2.18. настоящ</w:t>
      </w:r>
      <w:r>
        <w:rPr>
          <w:szCs w:val="24"/>
        </w:rPr>
        <w:t xml:space="preserve">ей Документации).</w:t>
      </w:r>
      <w:r>
        <w:rPr>
          <w:szCs w:val="24"/>
        </w:rPr>
      </w:r>
      <w:r>
        <w:rPr>
          <w:szCs w:val="24"/>
        </w:rPr>
      </w:r>
    </w:p>
    <w:p>
      <w:pPr>
        <w:pStyle w:val="1262"/>
        <w:ind w:firstLine="0"/>
        <w:widowControl w:val="off"/>
        <w:tabs>
          <w:tab w:val="left" w:pos="5925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914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19" w:name="_Toc189054386"/>
      <w:r>
        <w:rPr>
          <w:sz w:val="24"/>
          <w:szCs w:val="24"/>
        </w:rPr>
        <w:t xml:space="preserve">Публикация Документации и Извещения.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left" w:pos="1134" w:leader="none"/>
        </w:tabs>
      </w:pPr>
      <w:r>
        <w:rPr>
          <w:bCs/>
        </w:rPr>
        <w:t xml:space="preserve">Документация и Извещение о закупке размещены в ЕИС, а также на ЭТП, указанной в Извещении о закупке,</w:t>
      </w:r>
      <w:r>
        <w:t xml:space="preserve"> и могут быть получены</w:t>
      </w:r>
      <w:r>
        <w:t xml:space="preserve"> для ознакомления любым заинтересованным лицом без взимания платы в течение срока, определенного инструкциями и регламентами работы данных систем. Срок начала предоставления Документации </w:t>
      </w:r>
      <w:r>
        <w:rPr>
          <w:bCs/>
        </w:rPr>
        <w:t xml:space="preserve">и Извещения о закупке</w:t>
      </w:r>
      <w:r>
        <w:t xml:space="preserve"> установлен в Извещении о закупке.</w:t>
      </w:r>
      <w:r/>
    </w:p>
    <w:p>
      <w:pPr>
        <w:pStyle w:val="1233"/>
        <w:ind w:left="0"/>
        <w:jc w:val="both"/>
        <w:widowControl w:val="off"/>
        <w:tabs>
          <w:tab w:val="num" w:pos="720" w:leader="none"/>
        </w:tabs>
      </w:pPr>
      <w:r/>
      <w:r/>
    </w:p>
    <w:p>
      <w:pPr>
        <w:pStyle w:val="914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0" w:name="_Toc189054387"/>
      <w:r>
        <w:rPr>
          <w:sz w:val="24"/>
          <w:szCs w:val="24"/>
        </w:rPr>
        <w:t xml:space="preserve">Изучение Док</w:t>
      </w:r>
      <w:r>
        <w:rPr>
          <w:sz w:val="24"/>
          <w:szCs w:val="24"/>
        </w:rPr>
        <w:t xml:space="preserve">ументации, затраты на участие в закупке.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left" w:pos="993" w:leader="none"/>
        </w:tabs>
      </w:pPr>
      <w:r>
        <w:t xml:space="preserve">Предполагается, что Потенциальный участник/Участник закупки в полном объеме изучит настоящую Документацию. </w:t>
      </w:r>
      <w:r>
        <w:rPr>
          <w:bCs/>
        </w:rPr>
        <w:t xml:space="preserve">Никакие претензии Организатору Запроса предложений не будут приниматься на том основании, что Участник Запро</w:t>
      </w:r>
      <w:r>
        <w:rPr>
          <w:bCs/>
        </w:rPr>
        <w:t xml:space="preserve">са предложений не понимал какие-либо положения настоящей Документации.</w:t>
      </w:r>
      <w:r/>
    </w:p>
    <w:p>
      <w:pPr>
        <w:pStyle w:val="1233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clear" w:pos="720" w:leader="none"/>
          <w:tab w:val="left" w:pos="993" w:leader="none"/>
        </w:tabs>
      </w:pPr>
      <w:r>
        <w:t xml:space="preserve">Потенциальный участник/Участник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</w:t>
      </w:r>
      <w:r>
        <w:t xml:space="preserve">окументации, а Организатор закупки не имеет обязательств по этим расходам независимо от итогов закупки, а также оснований их завершения.</w:t>
      </w:r>
      <w:r/>
    </w:p>
    <w:p>
      <w:pPr>
        <w:pStyle w:val="1233"/>
        <w:numPr>
          <w:ilvl w:val="2"/>
          <w:numId w:val="11"/>
        </w:numPr>
        <w:ind w:left="0" w:firstLine="0"/>
        <w:jc w:val="both"/>
        <w:widowControl w:val="off"/>
        <w:tabs>
          <w:tab w:val="num" w:pos="284" w:leader="none"/>
          <w:tab w:val="clear" w:pos="720" w:leader="none"/>
          <w:tab w:val="left" w:pos="993" w:leader="none"/>
        </w:tabs>
      </w:pPr>
      <w:r>
        <w:t xml:space="preserve">Потенциальный участник/Участники закупки не вправе требовать компенсацию упущенной выгоды, понесенной в ходе подготовки</w:t>
      </w:r>
      <w:r>
        <w:t xml:space="preserve"> к закупке и проведения закупки.</w:t>
      </w:r>
      <w:r/>
    </w:p>
    <w:p>
      <w:pPr>
        <w:pStyle w:val="1233"/>
        <w:ind w:left="0"/>
        <w:jc w:val="both"/>
        <w:widowControl w:val="off"/>
        <w:tabs>
          <w:tab w:val="left" w:pos="993" w:leader="none"/>
        </w:tabs>
      </w:pPr>
      <w:r/>
      <w:r/>
    </w:p>
    <w:p>
      <w:pPr>
        <w:pStyle w:val="914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1" w:name="_Toc189054388"/>
      <w:r>
        <w:rPr>
          <w:sz w:val="24"/>
          <w:szCs w:val="24"/>
        </w:rPr>
        <w:t xml:space="preserve">Разъяснение положений Документации.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средствами ЭТП Организатору запрос о даче разъяснений положений Документации. Порядок </w:t>
      </w:r>
      <w:r>
        <w:rPr>
          <w:rFonts w:ascii="Times New Roman" w:hAnsi="Times New Roman" w:cs="Times New Roman"/>
          <w:b w:val="0"/>
          <w:bCs w:val="0"/>
        </w:rPr>
        <w:t xml:space="preserve">подачи запроса разъяснений положений Документации</w:t>
      </w:r>
      <w:r>
        <w:rPr>
          <w:rFonts w:ascii="Times New Roman" w:hAnsi="Times New Roman" w:cs="Times New Roman"/>
          <w:b w:val="0"/>
          <w:bCs w:val="0"/>
        </w:rPr>
        <w:t xml:space="preserve"> определяет</w:t>
      </w:r>
      <w:r>
        <w:rPr>
          <w:rFonts w:ascii="Times New Roman" w:hAnsi="Times New Roman" w:cs="Times New Roman"/>
          <w:b w:val="0"/>
          <w:bCs w:val="0"/>
        </w:rPr>
        <w:t xml:space="preserve">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r>
        <w:rPr>
          <w:rFonts w:ascii="Times New Roman" w:hAnsi="Times New Roman" w:cs="Times New Roman"/>
          <w:b w:val="0"/>
          <w:bCs w:val="0"/>
        </w:rPr>
        <w:t xml:space="preserve">с даты поступления</w:t>
      </w:r>
      <w:r>
        <w:rPr>
          <w:rFonts w:ascii="Times New Roman" w:hAnsi="Times New Roman" w:cs="Times New Roman"/>
          <w:b w:val="0"/>
          <w:bCs w:val="0"/>
        </w:rPr>
        <w:t xml:space="preserve"> запроса, Заказчик осуществляет разъяснение </w:t>
      </w:r>
      <w:r>
        <w:rPr>
          <w:rFonts w:ascii="Times New Roman" w:hAnsi="Times New Roman" w:cs="Times New Roman"/>
          <w:b w:val="0"/>
          <w:bCs w:val="0"/>
        </w:rPr>
        <w:t xml:space="preserve">положений Документации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</w:t>
      </w:r>
      <w:r>
        <w:rPr>
          <w:rFonts w:ascii="Times New Roman" w:hAnsi="Times New Roman" w:cs="Times New Roman"/>
          <w:b w:val="0"/>
          <w:bCs w:val="0"/>
        </w:rPr>
        <w:t xml:space="preserve">зднее, чем за 3 (три) рабочих дня до даты окончания срока подачи заявок на участие в такой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Запросы разъяснений, направленные не посредс</w:t>
      </w:r>
      <w:r>
        <w:rPr>
          <w:rFonts w:ascii="Times New Roman" w:hAnsi="Times New Roman" w:cs="Times New Roman"/>
          <w:b w:val="0"/>
          <w:bCs w:val="0"/>
        </w:rPr>
        <w:t xml:space="preserve">твом функционала ЭТП, не рассматриваются и ответы на них не предоставляются.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участник закупки имеет право написать обращение в а</w:t>
      </w:r>
      <w:r>
        <w:rPr>
          <w:rFonts w:ascii="Times New Roman" w:hAnsi="Times New Roman" w:cs="Times New Roman"/>
          <w:b w:val="0"/>
          <w:bCs w:val="0"/>
        </w:rPr>
        <w:t xml:space="preserve">дрес Организатора либо посредством функционала ЭТП или посредством оформленного на фирменном бланке Участника письма, направленного на электронную почту контактного лица и / или секретаря закупочной комиссии, указанную в п.4 Извещения о проведении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  <w:tabs>
          <w:tab w:val="num" w:pos="284" w:leader="none"/>
        </w:tabs>
      </w:pPr>
      <w:r/>
      <w:r/>
    </w:p>
    <w:p>
      <w:pPr>
        <w:pStyle w:val="914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2" w:name="_Toc189054389"/>
      <w:r>
        <w:rPr>
          <w:sz w:val="24"/>
          <w:szCs w:val="24"/>
        </w:rPr>
        <w:t xml:space="preserve">Внесение изменений в Документацию.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</w:t>
      </w:r>
      <w:r>
        <w:rPr>
          <w:rFonts w:ascii="Times New Roman" w:hAnsi="Times New Roman" w:cs="Times New Roman"/>
          <w:b w:val="0"/>
          <w:bCs w:val="0"/>
        </w:rPr>
        <w:t xml:space="preserve">Извещение о закупке и/или Документацию,</w:t>
      </w:r>
      <w:r>
        <w:rPr>
          <w:rFonts w:ascii="Times New Roman" w:hAnsi="Times New Roman" w:cs="Times New Roman"/>
          <w:b w:val="0"/>
        </w:rPr>
        <w:t xml:space="preserve"> размещаются Заказчиком в ЕИС не п</w:t>
      </w:r>
      <w:r>
        <w:rPr>
          <w:rFonts w:ascii="Times New Roman" w:hAnsi="Times New Roman" w:cs="Times New Roman"/>
          <w:b w:val="0"/>
        </w:rPr>
        <w:t xml:space="preserve">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</w:t>
      </w:r>
      <w:r>
        <w:rPr>
          <w:rFonts w:ascii="Times New Roman" w:hAnsi="Times New Roman" w:cs="Times New Roman"/>
          <w:b w:val="0"/>
          <w:bCs w:val="0"/>
        </w:rPr>
        <w:t xml:space="preserve">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</w:t>
      </w:r>
      <w:r>
        <w:rPr>
          <w:rFonts w:ascii="Times New Roman" w:hAnsi="Times New Roman" w:cs="Times New Roman"/>
          <w:b w:val="0"/>
        </w:rPr>
        <w:t xml:space="preserve">ока подачи заявок на участие в Закупке оставалось не менее половины срока подачи заявок на участие в закупке, установленного в Положении о закупке для данного способа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</w:t>
      </w:r>
      <w:r>
        <w:rPr>
          <w:rFonts w:ascii="Times New Roman" w:hAnsi="Times New Roman" w:cs="Times New Roman"/>
          <w:b w:val="0"/>
          <w:bCs w:val="0"/>
        </w:rPr>
        <w:t xml:space="preserve"> с изменениями, внесенными в Извещение и/или Документацию о закупке, размещенными надлежащим образом.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1"/>
        </w:numPr>
        <w:ind w:left="0" w:firstLine="0"/>
        <w:keepNext w:val="0"/>
        <w:spacing w:before="0" w:after="0"/>
        <w:widowControl w:val="off"/>
        <w:tabs>
          <w:tab w:val="num" w:pos="284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к какому-либо документу, выдаваемому участнику третьими сторонами (органами государственного управления, исполнительной власти, финансово-кредитными </w:t>
      </w:r>
      <w:r>
        <w:rPr>
          <w:rFonts w:ascii="Times New Roman" w:hAnsi="Times New Roman" w:cs="Times New Roman"/>
          <w:b w:val="0"/>
        </w:rPr>
        <w:t xml:space="preserve">организациями и т.п.), требуемому к представлению в составе заявки, установлен срок его действия, при этом Организатор Закупки продлил срок окончания приема заявок по Закупке менее чем за 3 (три) рабочих дня до истечения первоначально установленного срока </w:t>
      </w:r>
      <w:r>
        <w:rPr>
          <w:rFonts w:ascii="Times New Roman" w:hAnsi="Times New Roman" w:cs="Times New Roman"/>
          <w:b w:val="0"/>
        </w:rPr>
        <w:t xml:space="preserve">окончания приема заявок, и вновь установленный срок окончания приема</w:t>
      </w:r>
      <w:r>
        <w:rPr>
          <w:rFonts w:ascii="Times New Roman" w:hAnsi="Times New Roman" w:cs="Times New Roman"/>
          <w:b w:val="0"/>
        </w:rPr>
        <w:t xml:space="preserve"> заявок продлен менее чем на 10 (десять) рабочих дней от первоначального, такие документы будут считаться соответствующими требованиям документации без необходимости получения участником д</w:t>
      </w:r>
      <w:r>
        <w:rPr>
          <w:rFonts w:ascii="Times New Roman" w:hAnsi="Times New Roman" w:cs="Times New Roman"/>
          <w:b w:val="0"/>
        </w:rPr>
        <w:t xml:space="preserve">окументов с иным сроком действия, если фактический срок несоответствия срока действия документа требуемому согласно Документации не нарушен более</w:t>
      </w:r>
      <w:r>
        <w:rPr>
          <w:rFonts w:ascii="Times New Roman" w:hAnsi="Times New Roman" w:cs="Times New Roman"/>
          <w:b w:val="0"/>
        </w:rPr>
        <w:t xml:space="preserve">,</w:t>
      </w:r>
      <w:r>
        <w:rPr>
          <w:rFonts w:ascii="Times New Roman" w:hAnsi="Times New Roman" w:cs="Times New Roman"/>
          <w:b w:val="0"/>
        </w:rPr>
        <w:t xml:space="preserve"> чем на срок продления окончания приема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16"/>
        <w:numPr>
          <w:ilvl w:val="2"/>
          <w:numId w:val="11"/>
        </w:numPr>
        <w:ind w:left="0" w:firstLine="0"/>
        <w:widowControl w:val="off"/>
        <w:tabs>
          <w:tab w:val="num" w:pos="142" w:leader="none"/>
          <w:tab w:val="left" w:pos="567" w:leader="none"/>
          <w:tab w:val="clear" w:pos="720" w:leader="none"/>
        </w:tabs>
      </w:pPr>
      <w:r/>
      <w:bookmarkStart w:id="23" w:name="_Ref516864470"/>
      <w:r>
        <w:t xml:space="preserve"> После окончания срока подачи заявок по решению закупочной ком</w:t>
      </w:r>
      <w:r>
        <w:t xml:space="preserve">иссии допускается изменение сроков, установленных в п. 22 Извещения, в сторону </w:t>
      </w:r>
      <w:bookmarkEnd w:id="23"/>
      <w:r>
        <w:t xml:space="preserve">увеличения. </w:t>
      </w:r>
      <w:r>
        <w:t xml:space="preserve">Скорректированные сроки указываются в протоколе закупочной комиссии.  </w:t>
      </w:r>
      <w:r/>
    </w:p>
    <w:p>
      <w:pPr>
        <w:pStyle w:val="915"/>
        <w:ind w:left="0"/>
        <w:keepNext w:val="0"/>
        <w:spacing w:before="0" w:after="0"/>
        <w:widowControl w:val="off"/>
        <w:tabs>
          <w:tab w:val="num" w:pos="142" w:leader="none"/>
          <w:tab w:val="clear" w:pos="312" w:leader="none"/>
          <w:tab w:val="left" w:pos="567" w:leader="none"/>
          <w:tab w:val="left" w:pos="993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914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4" w:name="_Toc189054390"/>
      <w:r>
        <w:rPr>
          <w:sz w:val="24"/>
          <w:szCs w:val="24"/>
        </w:rPr>
        <w:t xml:space="preserve">Обеспечение заявки на участие в Закупке.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6"/>
        <w:numPr>
          <w:ilvl w:val="3"/>
          <w:numId w:val="22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bCs/>
        </w:rPr>
      </w:pPr>
      <w:r>
        <w:rPr>
          <w:bCs/>
        </w:rPr>
        <w:t xml:space="preserve">Размер, форма, срок предоставления обеспечения испол</w:t>
      </w:r>
      <w:r>
        <w:rPr>
          <w:bCs/>
        </w:rPr>
        <w:t xml:space="preserve">нения обязательств, связанных с участием в запросе предложений, а также порядок возврата обеспечения исполнения обязательств, связанных с участием в запросе предложений, установлен в Приложении №3 «Обеспечение участия в закупке» к настоящей Документации.</w:t>
      </w:r>
      <w:bookmarkStart w:id="25" w:name="_Ref535415072"/>
      <w:r>
        <w:rPr>
          <w:bCs/>
        </w:rPr>
      </w:r>
      <w:r>
        <w:rPr>
          <w:bCs/>
        </w:rPr>
      </w:r>
    </w:p>
    <w:p>
      <w:pPr>
        <w:pStyle w:val="1216"/>
        <w:ind w:left="0" w:firstLine="0"/>
        <w:widowControl w:val="off"/>
        <w:tabs>
          <w:tab w:val="left" w:pos="709" w:leader="none"/>
          <w:tab w:val="left" w:pos="993" w:leader="none"/>
          <w:tab w:val="clear" w:pos="1980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914"/>
        <w:numPr>
          <w:ilvl w:val="1"/>
          <w:numId w:val="11"/>
        </w:numPr>
        <w:ind w:left="0" w:firstLine="0"/>
        <w:jc w:val="both"/>
        <w:keepNext w:val="0"/>
        <w:spacing w:after="0"/>
        <w:widowControl w:val="off"/>
        <w:tabs>
          <w:tab w:val="num" w:pos="284" w:leader="none"/>
        </w:tabs>
        <w:rPr>
          <w:sz w:val="24"/>
          <w:szCs w:val="24"/>
        </w:rPr>
      </w:pPr>
      <w:r/>
      <w:bookmarkStart w:id="26" w:name="_Toc182377423"/>
      <w:r/>
      <w:bookmarkStart w:id="27" w:name="_Toc189054391"/>
      <w:r/>
      <w:bookmarkEnd w:id="25"/>
      <w:r>
        <w:rPr>
          <w:sz w:val="24"/>
          <w:szCs w:val="24"/>
        </w:rPr>
        <w:t xml:space="preserve">Подача заявок и их прием.</w:t>
      </w:r>
      <w:bookmarkEnd w:id="26"/>
      <w:r/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ЭТП в соответствии с требованиями Документации о закупке в сроки, установленные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Закупке в отношении каждого лота. Подача альтернативных заявок не допускается. В случае установления факта подачи одним участником закупки двух и более заявок, все заявки этого участника рассма</w:t>
      </w:r>
      <w:r>
        <w:rPr>
          <w:rFonts w:ascii="Times New Roman" w:hAnsi="Times New Roman" w:cs="Times New Roman"/>
          <w:b w:val="0"/>
          <w:bCs w:val="0"/>
        </w:rPr>
        <w:t xml:space="preserve">триваться не </w:t>
      </w:r>
      <w:r>
        <w:rPr>
          <w:rFonts w:ascii="Times New Roman" w:hAnsi="Times New Roman" w:cs="Times New Roman"/>
          <w:b w:val="0"/>
          <w:bCs w:val="0"/>
        </w:rPr>
        <w:t xml:space="preserve">будут</w:t>
      </w:r>
      <w:r>
        <w:rPr>
          <w:rFonts w:ascii="Times New Roman" w:hAnsi="Times New Roman" w:cs="Times New Roman"/>
          <w:b w:val="0"/>
          <w:bCs w:val="0"/>
        </w:rPr>
        <w:t xml:space="preserve"> и подлежат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33"/>
        <w:numPr>
          <w:ilvl w:val="2"/>
          <w:numId w:val="21"/>
        </w:numPr>
        <w:ind w:left="0" w:firstLine="0"/>
        <w:jc w:val="both"/>
        <w:widowControl w:val="off"/>
        <w:tabs>
          <w:tab w:val="left" w:pos="993" w:leader="none"/>
        </w:tabs>
      </w:pPr>
      <w:r>
        <w:t xml:space="preserve">Заявка на участие в Закупке должна быть подписана усиленной квалифицированной электронной подписью.</w:t>
      </w:r>
      <w:r/>
    </w:p>
    <w:p>
      <w:pPr>
        <w:numPr>
          <w:ilvl w:val="2"/>
          <w:numId w:val="21"/>
        </w:numPr>
        <w:ind w:left="0" w:firstLine="0"/>
        <w:spacing w:after="0"/>
        <w:widowControl w:val="off"/>
        <w:tabs>
          <w:tab w:val="left" w:pos="993" w:leader="none"/>
        </w:tabs>
        <w:rPr>
          <w:bCs/>
        </w:rPr>
      </w:pPr>
      <w:r>
        <w:rPr>
          <w:bCs/>
        </w:rPr>
        <w:t xml:space="preserve">Правила проведения закупки через ЭТП определяются правилами ее работы.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21"/>
        </w:numPr>
        <w:ind w:left="0" w:firstLine="0"/>
        <w:spacing w:after="0"/>
        <w:widowControl w:val="off"/>
        <w:tabs>
          <w:tab w:val="left" w:pos="993" w:leader="none"/>
        </w:tabs>
        <w:rPr>
          <w:bCs/>
        </w:rPr>
      </w:pPr>
      <w:r>
        <w:rPr>
          <w:bCs/>
        </w:rPr>
        <w:t xml:space="preserve">В случае наличия в заявке участника недосто</w:t>
      </w:r>
      <w:r>
        <w:rPr>
          <w:bCs/>
        </w:rPr>
        <w:t xml:space="preserve">верных сведений в отношении документов и / или сведений, которые не были обязательны к предоставлению в составе заявки участника (в том числе требований, относящихся к исполнению договора), или которые заказчик не вправе требовать, а также в случае предост</w:t>
      </w:r>
      <w:r>
        <w:rPr>
          <w:bCs/>
        </w:rPr>
        <w:t xml:space="preserve">авления недостоверных сведений и / или документов, которые влияют на результат балльной оценки, то такие сведения и / или документы</w:t>
      </w:r>
      <w:r>
        <w:rPr>
          <w:bCs/>
        </w:rPr>
        <w:t xml:space="preserve"> считаются не предоставленными. При наличии в заявке участника недостоверных сведений, относящихся к обязательным требованиям</w:t>
      </w:r>
      <w:r>
        <w:rPr>
          <w:bCs/>
        </w:rPr>
        <w:t xml:space="preserve"> к участнику, такая заявка подлежит отклонению.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tabs>
          <w:tab w:val="left" w:pos="993" w:leader="none"/>
        </w:tabs>
      </w:pPr>
      <w:r/>
      <w:r/>
    </w:p>
    <w:p>
      <w:pPr>
        <w:pStyle w:val="914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993" w:leader="none"/>
        </w:tabs>
        <w:rPr>
          <w:sz w:val="24"/>
          <w:szCs w:val="24"/>
        </w:rPr>
      </w:pPr>
      <w:r/>
      <w:bookmarkStart w:id="28" w:name="_Toc189054392"/>
      <w:r>
        <w:rPr>
          <w:sz w:val="24"/>
          <w:szCs w:val="24"/>
        </w:rPr>
        <w:t xml:space="preserve">Изменение и отзыв заявки на участие в закупке.</w:t>
      </w:r>
      <w:bookmarkEnd w:id="2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участие, вправе изменить или отозвать заявку в любое время до момента окончания срока подачи заявок на участие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</w:t>
      </w:r>
      <w:r>
        <w:rPr>
          <w:rFonts w:ascii="Times New Roman" w:hAnsi="Times New Roman" w:cs="Times New Roman"/>
          <w:b w:val="0"/>
          <w:bCs w:val="0"/>
        </w:rPr>
        <w:t xml:space="preserve">орядок изменения и отзыва заявок на участие в Закупке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изменение или отзыв заявки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914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993" w:leader="none"/>
        </w:tabs>
        <w:rPr>
          <w:sz w:val="24"/>
          <w:szCs w:val="24"/>
        </w:rPr>
      </w:pPr>
      <w:r/>
      <w:bookmarkStart w:id="29" w:name="_Toc189054393"/>
      <w:r>
        <w:rPr>
          <w:sz w:val="24"/>
          <w:szCs w:val="24"/>
        </w:rPr>
        <w:t xml:space="preserve">Отмена закупки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num" w:pos="720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</w:t>
      </w:r>
      <w:r>
        <w:rPr>
          <w:rFonts w:ascii="Times New Roman" w:hAnsi="Times New Roman" w:cs="Times New Roman"/>
          <w:b w:val="0"/>
          <w:bCs w:val="0"/>
        </w:rPr>
        <w:t xml:space="preserve">у) до наступления даты и времени окончания срока подачи заявок на участие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33"/>
        <w:numPr>
          <w:ilvl w:val="2"/>
          <w:numId w:val="21"/>
        </w:numPr>
        <w:ind w:left="0" w:firstLine="0"/>
        <w:jc w:val="both"/>
        <w:widowControl w:val="off"/>
        <w:tabs>
          <w:tab w:val="left" w:pos="993" w:leader="none"/>
        </w:tabs>
      </w:pPr>
      <w:r>
        <w:rPr>
          <w:bCs/>
        </w:rPr>
        <w:t xml:space="preserve">Заказчик вправе отменить Закупку по одному и более предмету Закупки (лоту)</w:t>
      </w:r>
      <w:r>
        <w:rPr>
          <w:b/>
          <w:bCs/>
        </w:rPr>
        <w:t xml:space="preserve"> </w:t>
      </w:r>
      <w:r>
        <w:t xml:space="preserve">по истечении даты и времени окончания подачи заявок и до заключения договора при наступлении обс</w:t>
      </w:r>
      <w:r>
        <w:t xml:space="preserve">тоятельств непреодолимой силы в соответствии с гражданским законодательством.</w:t>
      </w:r>
      <w:r/>
    </w:p>
    <w:p>
      <w:pPr>
        <w:pStyle w:val="915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num" w:pos="720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914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bookmarkStart w:id="30" w:name="_Toc189054394"/>
      <w:r>
        <w:rPr>
          <w:sz w:val="24"/>
          <w:szCs w:val="24"/>
        </w:rPr>
        <w:t xml:space="preserve">Вскрытие заявок.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numPr>
          <w:ilvl w:val="2"/>
          <w:numId w:val="21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Открытие доступа к заявкам участников З</w:t>
      </w:r>
      <w:r>
        <w:rPr>
          <w:rFonts w:ascii="Times New Roman" w:hAnsi="Times New Roman" w:cs="Times New Roman"/>
          <w:b w:val="0"/>
          <w:bCs w:val="0"/>
        </w:rPr>
        <w:t xml:space="preserve">акупки осуществляется оператором электронной площадки в порядке, установленном действующим законодательством и Регламентом работы ЭТП в день и время, указанные в Извещении.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914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31" w:name="_Toc189054395"/>
      <w:r>
        <w:rPr>
          <w:sz w:val="24"/>
          <w:szCs w:val="24"/>
        </w:rPr>
        <w:t xml:space="preserve">Рассмотрение и оценка заявок участников.</w:t>
      </w:r>
      <w:bookmarkEnd w:id="3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4"/>
        <w:numPr>
          <w:ilvl w:val="0"/>
          <w:numId w:val="40"/>
        </w:numPr>
        <w:ind w:left="0" w:firstLine="0"/>
        <w:jc w:val="both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32" w:name="_Toc189054396"/>
      <w:r>
        <w:rPr>
          <w:sz w:val="24"/>
          <w:szCs w:val="24"/>
        </w:rPr>
        <w:t xml:space="preserve">Общая часть:</w:t>
      </w:r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0"/>
          <w:numId w:val="2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Рассмотрение и оценка заявок</w:t>
      </w:r>
      <w:r>
        <w:t xml:space="preserve"> участников осуществляется Комиссией в сроки, установленные в п. 22 Извещения о закупке.</w:t>
      </w:r>
      <w:r/>
    </w:p>
    <w:p>
      <w:pPr>
        <w:pStyle w:val="1233"/>
        <w:numPr>
          <w:ilvl w:val="0"/>
          <w:numId w:val="2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Рассмотрение заявок участников осуществляется в соответствии с отборочными критериями, указанными в настоящей Документации о закупке, а также Приложении №1 «Техническо</w:t>
      </w:r>
      <w:r>
        <w:t xml:space="preserve">е задание» к Документации о закупке. Оценка заявок участников осуществляется в соответствии с оценочными критериями и порядком оценки, которые указаны в Приложении №1 «Техническое задание» к Документации о закупке.</w:t>
      </w:r>
      <w:r/>
    </w:p>
    <w:p>
      <w:pPr>
        <w:pStyle w:val="1233"/>
        <w:numPr>
          <w:ilvl w:val="0"/>
          <w:numId w:val="2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Применение каких-либо критериев в качеств</w:t>
      </w:r>
      <w:r>
        <w:t xml:space="preserve">е отборочных требований не налагает ограничений на их применение также на стадии оценки заявок, если это установлено в настоящей Документации о закупке и приложениях к ней.</w:t>
      </w:r>
      <w:r/>
    </w:p>
    <w:p>
      <w:pPr>
        <w:pStyle w:val="1233"/>
        <w:numPr>
          <w:ilvl w:val="0"/>
          <w:numId w:val="2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Заявки участников рассматриваются в соответствии с требованиями, устанавливаемыми в</w:t>
      </w:r>
      <w:r>
        <w:t xml:space="preserve"> Документации на основании предоставленных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</w:t>
      </w:r>
      <w:r>
        <w:t xml:space="preserve">организаций в сети Интернет.</w:t>
      </w:r>
      <w:r/>
    </w:p>
    <w:p>
      <w:pPr>
        <w:pStyle w:val="1233"/>
        <w:numPr>
          <w:ilvl w:val="0"/>
          <w:numId w:val="2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Документации. Требования, предъявляемые к участникам Закупки, к зак</w:t>
      </w:r>
      <w:r>
        <w:t xml:space="preserve">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33"/>
        <w:numPr>
          <w:ilvl w:val="0"/>
          <w:numId w:val="2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Для проведения эксп</w:t>
      </w:r>
      <w:r>
        <w:t xml:space="preserve">ертизы заявок, поступивших на участие в Закупке, Комиссия вправе привлечь иных лиц (экспертов и специалистов), не связанных с участниками Закупки. При рассмотрении и оценке заявок Комиссия учитывает оценки и рекомендации экспертов, однако может принимать г</w:t>
      </w:r>
      <w:r>
        <w:t xml:space="preserve">олосованием любые самостоятельные решения.</w:t>
      </w:r>
      <w:r/>
    </w:p>
    <w:p>
      <w:pPr>
        <w:pStyle w:val="1233"/>
        <w:numPr>
          <w:ilvl w:val="0"/>
          <w:numId w:val="2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Участники закупки не вправе каким-либо способом влиять, участвовать или присутствовать при рассмотрении и оценке заявок на участие в Закупке, а также вступать в контакты с лицами, выполняющими экспертизу заявок н</w:t>
      </w:r>
      <w:r>
        <w:t xml:space="preserve">а участие в Закупке. Любые попытки Участников закупки повлиять на Комиссию при экспертизе заявок на участие в Закупке или на присуждение договора, а также оказать давление на любое лицо, привлеченное Организатором Закупки для работы в Закупке, в случае есл</w:t>
      </w:r>
      <w:r>
        <w:t xml:space="preserve">и данные факты подтверждены документально, служат основанием для отклонения заявок на участие в закупке таких Участников.</w:t>
      </w:r>
      <w:r/>
    </w:p>
    <w:p>
      <w:pPr>
        <w:pStyle w:val="1233"/>
        <w:numPr>
          <w:ilvl w:val="0"/>
          <w:numId w:val="2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 Если в Извещении и Документации о закупке содержится указание на установленные Законом преференции Участникам З</w:t>
      </w:r>
      <w:r>
        <w:t xml:space="preserve">акупки, обладающим определенными характерными признаками то при рассмотрении, оценке и сопоставлении заявок на участие в Закупке Комиссия учитывает преференции, предоставляемые указанным Участникам Закупки.</w:t>
      </w:r>
      <w:r/>
    </w:p>
    <w:p>
      <w:pPr>
        <w:pStyle w:val="1233"/>
        <w:numPr>
          <w:ilvl w:val="0"/>
          <w:numId w:val="2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Организатор З</w:t>
      </w:r>
      <w:r>
        <w:t xml:space="preserve">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соответствующие организации, лицам, указанным в заявке.</w:t>
      </w:r>
      <w:r/>
    </w:p>
    <w:p>
      <w:pPr>
        <w:pStyle w:val="1233"/>
        <w:numPr>
          <w:ilvl w:val="0"/>
          <w:numId w:val="2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Решения Комиссии не под</w:t>
      </w:r>
      <w:r>
        <w:t xml:space="preserve">лежат обсуждению с Участниками Закупки.</w:t>
      </w:r>
      <w:r/>
    </w:p>
    <w:p>
      <w:pPr>
        <w:pStyle w:val="1233"/>
        <w:numPr>
          <w:ilvl w:val="0"/>
          <w:numId w:val="28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Запросы Организатору Закупки о причинах отклонения заявки Участника не допускаются. Основания для отклонения заявки указываются Организатором в соответствующих протоколах. В случае поступления запроса о причинах откл</w:t>
      </w:r>
      <w:r>
        <w:t xml:space="preserve">онения заявки Организатор не обязан отвечать на такие запросы.</w:t>
      </w:r>
      <w:r/>
    </w:p>
    <w:p>
      <w:pPr>
        <w:spacing w:after="0"/>
        <w:widowControl w:val="off"/>
      </w:pPr>
      <w:r/>
      <w:r/>
    </w:p>
    <w:p>
      <w:pPr>
        <w:pStyle w:val="914"/>
        <w:numPr>
          <w:ilvl w:val="0"/>
          <w:numId w:val="40"/>
        </w:numPr>
        <w:ind w:left="0" w:firstLine="0"/>
        <w:jc w:val="both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33" w:name="_Toc189054397"/>
      <w:r>
        <w:rPr>
          <w:sz w:val="24"/>
          <w:szCs w:val="24"/>
        </w:rPr>
        <w:t xml:space="preserve">Рассмотрение и оценка заявок участников.</w:t>
      </w:r>
      <w:bookmarkEnd w:id="3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3"/>
          <w:numId w:val="2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Комиссия осуществляет рассмотрение и оценку заявок на участие в Закупке, а также участников Закупки, на предмет их соответствия требованиям, установлен</w:t>
      </w:r>
      <w:r>
        <w:t xml:space="preserve">ным законодательством Российской Федерации, настоящей Документацией и определяет перечень участников Закупки, допускаемых к дальнейшему участию.</w:t>
      </w:r>
      <w:r/>
    </w:p>
    <w:p>
      <w:pPr>
        <w:pStyle w:val="1233"/>
        <w:numPr>
          <w:ilvl w:val="3"/>
          <w:numId w:val="2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рамках рассмотрения заявок участников Комиссия проверяет:</w:t>
      </w:r>
      <w:r/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426" w:leader="none"/>
          <w:tab w:val="left" w:pos="1134" w:leader="none"/>
        </w:tabs>
        <w:rPr>
          <w:rStyle w:val="1264"/>
          <w:sz w:val="24"/>
          <w:szCs w:val="24"/>
        </w:rPr>
      </w:pPr>
      <w:r>
        <w:rPr>
          <w:rStyle w:val="1264"/>
          <w:sz w:val="24"/>
          <w:szCs w:val="24"/>
        </w:rPr>
        <w:t xml:space="preserve">соответствие заявок на участие в Закупке требования</w:t>
      </w:r>
      <w:r>
        <w:rPr>
          <w:rStyle w:val="1264"/>
          <w:sz w:val="24"/>
          <w:szCs w:val="24"/>
        </w:rPr>
        <w:t xml:space="preserve">м настоящей Документации (предоставление необходимого комплекта документов, соответствие документов предъявляемым требованиям, правильность оформления данных документов, соблюдение установленных сроков и т.д.);  </w:t>
      </w:r>
      <w:r>
        <w:rPr>
          <w:rStyle w:val="1264"/>
          <w:sz w:val="24"/>
          <w:szCs w:val="24"/>
        </w:rPr>
      </w:r>
      <w:r>
        <w:rPr>
          <w:rStyle w:val="1264"/>
          <w:sz w:val="24"/>
          <w:szCs w:val="24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426" w:leader="none"/>
        </w:tabs>
        <w:rPr>
          <w:rStyle w:val="1264"/>
          <w:sz w:val="24"/>
          <w:szCs w:val="24"/>
        </w:rPr>
      </w:pPr>
      <w:r>
        <w:rPr>
          <w:rStyle w:val="1264"/>
          <w:sz w:val="24"/>
          <w:szCs w:val="24"/>
        </w:rPr>
        <w:t xml:space="preserve">соответствие участников Закупки требованиям</w:t>
      </w:r>
      <w:r>
        <w:rPr>
          <w:rStyle w:val="1264"/>
          <w:sz w:val="24"/>
          <w:szCs w:val="24"/>
        </w:rPr>
        <w:t xml:space="preserve"> настоящей Документации.</w:t>
      </w:r>
      <w:r>
        <w:rPr>
          <w:rStyle w:val="1264"/>
          <w:sz w:val="24"/>
          <w:szCs w:val="24"/>
        </w:rPr>
      </w:r>
      <w:r>
        <w:rPr>
          <w:rStyle w:val="1264"/>
          <w:sz w:val="24"/>
          <w:szCs w:val="24"/>
        </w:rPr>
      </w:r>
    </w:p>
    <w:p>
      <w:pPr>
        <w:pStyle w:val="1265"/>
        <w:ind w:firstLine="0"/>
        <w:spacing w:line="240" w:lineRule="auto"/>
        <w:tabs>
          <w:tab w:val="left" w:pos="426" w:leader="none"/>
          <w:tab w:val="left" w:pos="1701" w:leader="none"/>
        </w:tabs>
        <w:rPr>
          <w:rStyle w:val="1264"/>
          <w:rFonts w:eastAsiaTheme="majorEastAsia"/>
          <w:sz w:val="24"/>
          <w:szCs w:val="24"/>
        </w:rPr>
      </w:pPr>
      <w:r>
        <w:rPr>
          <w:rStyle w:val="1264"/>
          <w:rFonts w:eastAsiaTheme="majorEastAsia"/>
          <w:sz w:val="24"/>
          <w:szCs w:val="24"/>
        </w:rPr>
        <w:t xml:space="preserve">Проверка соответствия заявок на участие в Закупке и самих Участников закупки осуществляется в соответствии с отборочными критериями, указанными в разделах 3, 4 настоящей Документации.</w:t>
      </w:r>
      <w:r>
        <w:rPr>
          <w:rStyle w:val="1264"/>
          <w:rFonts w:eastAsiaTheme="majorEastAsia"/>
          <w:sz w:val="24"/>
          <w:szCs w:val="24"/>
        </w:rPr>
      </w:r>
      <w:r>
        <w:rPr>
          <w:rStyle w:val="1264"/>
          <w:rFonts w:eastAsiaTheme="majorEastAsia"/>
          <w:sz w:val="24"/>
          <w:szCs w:val="24"/>
        </w:rPr>
      </w:r>
    </w:p>
    <w:p>
      <w:pPr>
        <w:pStyle w:val="1233"/>
        <w:numPr>
          <w:ilvl w:val="3"/>
          <w:numId w:val="2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Оценка заявок участников осуществляется в соотв</w:t>
      </w:r>
      <w:r>
        <w:t xml:space="preserve">етствии с оценочными критериями и порядком, установленными в Приложении №1 «Техническое задание» к настоящей Документации. Оценка производится в баллах, при этом для каждого критерия в зависимости от его значимости устанавливается весовой коэффициент для у</w:t>
      </w:r>
      <w:r>
        <w:t xml:space="preserve">чета при расчете общей предпочтительности Заявки.</w:t>
      </w:r>
      <w:r/>
    </w:p>
    <w:p>
      <w:pPr>
        <w:pStyle w:val="1233"/>
        <w:numPr>
          <w:ilvl w:val="3"/>
          <w:numId w:val="2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Не допускается осуществлять оценку заявок на участие в Закупке по критериям и в порядке, которые не указаны в Документации. Критерии и порядок оценки заявок на участие в Закупке, установленные Организатором</w:t>
      </w:r>
      <w:r>
        <w:t xml:space="preserve">, применяются в равной степени ко всем участникам Закупки, к предлагаемым ими товарам, работам, услугам, к условиям исполнения договора.</w:t>
      </w:r>
      <w:r/>
    </w:p>
    <w:p>
      <w:pPr>
        <w:pStyle w:val="1233"/>
        <w:numPr>
          <w:ilvl w:val="3"/>
          <w:numId w:val="2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При участии в процедуре переторжки (при ее проведении) расчет рейтинга по критерию стоимости проводится по ценовому пре</w:t>
      </w:r>
      <w:r>
        <w:t xml:space="preserve">дложению, поданному на переторжку, при условии выполнения требований п. 2.12.4. настоящей документации.</w:t>
      </w:r>
      <w:r/>
    </w:p>
    <w:p>
      <w:pPr>
        <w:pStyle w:val="1233"/>
        <w:numPr>
          <w:ilvl w:val="3"/>
          <w:numId w:val="2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Вне зависимости от применяемой участниками системы налогообложения, оценка поступивших Заявок по ценовому критерию</w:t>
      </w:r>
      <w:r>
        <w:t xml:space="preserve"> будет производиться на основании предложенных Участниками цен в номинальном выражении, то есть по единому значению цены. При оценке заявок Участников Организатор исходит из того, что предложенная Участником цена договора либо цена единицы товара, работы, </w:t>
      </w:r>
      <w:r>
        <w:t xml:space="preserve">услуги, содержит все расходы Участника, включая, </w:t>
      </w:r>
      <w:r>
        <w:t xml:space="preserve">но</w:t>
      </w:r>
      <w:r>
        <w:t xml:space="preserve"> не ограничиваясь, расходы на перевозку, страхование, уплату таможенных пошлин, налогов и других обязательных платежей.</w:t>
      </w:r>
      <w:r/>
    </w:p>
    <w:p>
      <w:pPr>
        <w:pStyle w:val="1233"/>
        <w:numPr>
          <w:ilvl w:val="3"/>
          <w:numId w:val="2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Заявка на участие в закупке должна соответствовать каждому из установленных настоящей</w:t>
      </w:r>
      <w:r>
        <w:t xml:space="preserve"> Документацией требований. </w:t>
      </w:r>
      <w:r/>
    </w:p>
    <w:p>
      <w:pPr>
        <w:pStyle w:val="1233"/>
        <w:ind w:left="0"/>
        <w:jc w:val="both"/>
        <w:widowControl w:val="off"/>
        <w:tabs>
          <w:tab w:val="left" w:pos="0" w:leader="none"/>
          <w:tab w:val="left" w:pos="993" w:leader="none"/>
        </w:tabs>
      </w:pPr>
      <w:r>
        <w:t xml:space="preserve">Участник закупки не допускается Комиссией к дальнейшему участию в закупке в следующих случаях:</w:t>
      </w:r>
      <w:r/>
    </w:p>
    <w:p>
      <w:pPr>
        <w:pStyle w:val="1265"/>
        <w:ind w:firstLine="0"/>
        <w:spacing w:line="240" w:lineRule="auto"/>
        <w:tabs>
          <w:tab w:val="left" w:pos="0" w:leader="none"/>
          <w:tab w:val="left" w:pos="284" w:leader="none"/>
          <w:tab w:val="left" w:pos="851" w:leader="none"/>
        </w:tabs>
        <w:rPr>
          <w:rStyle w:val="1264"/>
          <w:sz w:val="24"/>
          <w:szCs w:val="24"/>
        </w:rPr>
      </w:pPr>
      <w:r>
        <w:rPr>
          <w:rStyle w:val="1264"/>
          <w:sz w:val="24"/>
          <w:szCs w:val="24"/>
        </w:rPr>
        <w:t xml:space="preserve">1) </w:t>
      </w:r>
      <w:r>
        <w:rPr>
          <w:rStyle w:val="1264"/>
          <w:sz w:val="24"/>
          <w:szCs w:val="24"/>
        </w:rPr>
        <w:t xml:space="preserve">непредоставления</w:t>
      </w:r>
      <w:r>
        <w:rPr>
          <w:rStyle w:val="1264"/>
          <w:sz w:val="24"/>
          <w:szCs w:val="24"/>
        </w:rPr>
        <w:t xml:space="preserve"> требуемых согласно настоящей Документации документов (либо </w:t>
      </w:r>
      <w:r>
        <w:rPr>
          <w:rStyle w:val="1264"/>
          <w:sz w:val="24"/>
          <w:szCs w:val="24"/>
        </w:rPr>
        <w:t xml:space="preserve">непредоставление</w:t>
      </w:r>
      <w:r>
        <w:rPr>
          <w:rStyle w:val="1264"/>
          <w:sz w:val="24"/>
          <w:szCs w:val="24"/>
        </w:rPr>
        <w:t xml:space="preserve"> разъяснений на </w:t>
      </w:r>
      <w:r>
        <w:rPr>
          <w:rStyle w:val="1264"/>
          <w:sz w:val="24"/>
          <w:szCs w:val="24"/>
        </w:rPr>
        <w:t xml:space="preserve">дозапрос</w:t>
      </w:r>
      <w:r>
        <w:rPr>
          <w:rStyle w:val="1264"/>
          <w:sz w:val="24"/>
          <w:szCs w:val="24"/>
        </w:rPr>
        <w:t xml:space="preserve">, в случае его</w:t>
      </w:r>
      <w:r>
        <w:rPr>
          <w:rStyle w:val="1264"/>
          <w:sz w:val="24"/>
          <w:szCs w:val="24"/>
        </w:rPr>
        <w:t xml:space="preserve"> проведения в соответствии с п. 2.11.3 настоящей Документации), либо </w:t>
      </w:r>
      <w:r>
        <w:t xml:space="preserve">не подтверждается достоверность предоставленных на торгово-закупочную процедуру документов</w:t>
      </w:r>
      <w:r>
        <w:rPr>
          <w:rStyle w:val="1264"/>
          <w:sz w:val="24"/>
          <w:szCs w:val="24"/>
        </w:rPr>
        <w:t xml:space="preserve">, в том числе привлекаемых </w:t>
      </w:r>
      <w:r>
        <w:rPr>
          <w:rStyle w:val="1264"/>
          <w:iCs/>
          <w:sz w:val="24"/>
          <w:szCs w:val="24"/>
        </w:rPr>
        <w:t xml:space="preserve">субподрядчиках/соисполнителях </w:t>
      </w:r>
      <w:r>
        <w:rPr>
          <w:rStyle w:val="1264"/>
          <w:sz w:val="24"/>
          <w:szCs w:val="24"/>
        </w:rPr>
        <w:t xml:space="preserve">(в случае привлечения) или о предлагаемы</w:t>
      </w:r>
      <w:r>
        <w:rPr>
          <w:rStyle w:val="1264"/>
          <w:sz w:val="24"/>
          <w:szCs w:val="24"/>
        </w:rPr>
        <w:t xml:space="preserve">х товарах, работах, услугах;</w:t>
      </w:r>
      <w:r>
        <w:rPr>
          <w:rStyle w:val="1264"/>
          <w:sz w:val="24"/>
          <w:szCs w:val="24"/>
        </w:rPr>
      </w:r>
      <w:r>
        <w:rPr>
          <w:rStyle w:val="1264"/>
          <w:sz w:val="24"/>
          <w:szCs w:val="24"/>
        </w:rPr>
      </w:r>
    </w:p>
    <w:p>
      <w:pPr>
        <w:pStyle w:val="1265"/>
        <w:ind w:firstLine="0"/>
        <w:spacing w:line="240" w:lineRule="auto"/>
        <w:tabs>
          <w:tab w:val="left" w:pos="284" w:leader="none"/>
          <w:tab w:val="left" w:pos="851" w:leader="none"/>
        </w:tabs>
        <w:rPr>
          <w:rStyle w:val="1264"/>
          <w:sz w:val="24"/>
          <w:szCs w:val="24"/>
        </w:rPr>
      </w:pPr>
      <w:r>
        <w:rPr>
          <w:rStyle w:val="1264"/>
          <w:sz w:val="24"/>
          <w:szCs w:val="24"/>
        </w:rPr>
        <w:t xml:space="preserve">2) нарушения правильности подачи Заявки, включая нарушение</w:t>
      </w:r>
      <w:r>
        <w:rPr>
          <w:bCs/>
        </w:rPr>
        <w:t xml:space="preserve"> правил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</w:t>
      </w:r>
      <w:r>
        <w:rPr>
          <w:bCs/>
        </w:rPr>
        <w:t xml:space="preserve">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подписи);</w:t>
      </w:r>
      <w:r>
        <w:rPr>
          <w:rStyle w:val="1264"/>
          <w:sz w:val="24"/>
          <w:szCs w:val="24"/>
        </w:rPr>
      </w:r>
      <w:r>
        <w:rPr>
          <w:rStyle w:val="1264"/>
          <w:sz w:val="24"/>
          <w:szCs w:val="24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64"/>
          <w:sz w:val="24"/>
          <w:szCs w:val="24"/>
        </w:rPr>
      </w:pPr>
      <w:r>
        <w:rPr>
          <w:rStyle w:val="1264"/>
          <w:sz w:val="24"/>
          <w:szCs w:val="24"/>
        </w:rPr>
        <w:t xml:space="preserve">несоответствия </w:t>
      </w:r>
      <w:r>
        <w:rPr>
          <w:rStyle w:val="1264"/>
          <w:sz w:val="24"/>
          <w:szCs w:val="24"/>
        </w:rPr>
        <w:t xml:space="preserve">участника </w:t>
      </w:r>
      <w:r>
        <w:t xml:space="preserve">Закупки</w:t>
      </w:r>
      <w:r>
        <w:rPr>
          <w:rStyle w:val="1264"/>
          <w:sz w:val="24"/>
          <w:szCs w:val="24"/>
        </w:rPr>
        <w:t xml:space="preserve">, в том числе привлекаемых </w:t>
      </w:r>
      <w:r>
        <w:rPr>
          <w:rStyle w:val="1264"/>
          <w:iCs/>
          <w:sz w:val="24"/>
          <w:szCs w:val="24"/>
        </w:rPr>
        <w:t xml:space="preserve">субподрядчиков/соисполнителей </w:t>
      </w:r>
      <w:r>
        <w:rPr>
          <w:rStyle w:val="1264"/>
          <w:sz w:val="24"/>
          <w:szCs w:val="24"/>
        </w:rPr>
        <w:t xml:space="preserve">(в случае привлечения), требованиям, установленным в настоящей Документации;</w:t>
      </w:r>
      <w:r>
        <w:rPr>
          <w:rStyle w:val="1264"/>
          <w:sz w:val="24"/>
          <w:szCs w:val="24"/>
        </w:rPr>
      </w:r>
      <w:r>
        <w:rPr>
          <w:rStyle w:val="1264"/>
          <w:sz w:val="24"/>
          <w:szCs w:val="24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64"/>
          <w:sz w:val="24"/>
          <w:szCs w:val="24"/>
        </w:rPr>
      </w:pPr>
      <w:r>
        <w:rPr>
          <w:rStyle w:val="1264"/>
          <w:sz w:val="24"/>
          <w:szCs w:val="24"/>
        </w:rPr>
        <w:t xml:space="preserve">несоответствия технического предложения (технических характеристик продукции, технических условий продукц</w:t>
      </w:r>
      <w:r>
        <w:rPr>
          <w:rStyle w:val="1264"/>
          <w:sz w:val="24"/>
          <w:szCs w:val="24"/>
        </w:rPr>
        <w:t xml:space="preserve">ии и предлагаемых договорных условий) требованиям настоящей Документации;</w:t>
      </w:r>
      <w:r>
        <w:rPr>
          <w:rStyle w:val="1264"/>
          <w:sz w:val="24"/>
          <w:szCs w:val="24"/>
        </w:rPr>
      </w:r>
      <w:r>
        <w:rPr>
          <w:rStyle w:val="1264"/>
          <w:sz w:val="24"/>
          <w:szCs w:val="24"/>
        </w:rPr>
      </w:r>
    </w:p>
    <w:p>
      <w:pPr>
        <w:pStyle w:val="1233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</w:pPr>
      <w:r>
        <w:t xml:space="preserve"> превышения цены Заявки над НМЦ / превышения стоимости единичных расценок (либо какой-либо единичной расценки)/превышения </w:t>
      </w:r>
      <w:r>
        <w:rPr>
          <w:bCs/>
        </w:rPr>
        <w:t xml:space="preserve">отдельных стоимостных позиций (например, превышения стоимост</w:t>
      </w:r>
      <w:r>
        <w:rPr>
          <w:bCs/>
        </w:rPr>
        <w:t xml:space="preserve">и поставки оборудования или стоимости его монтажа)/ превышения стоимостей отдельных договоров, если по результатам закупки будет заключено несколько договоров и т.п</w:t>
      </w:r>
      <w:r>
        <w:t xml:space="preserve">.;</w:t>
      </w:r>
      <w:r/>
    </w:p>
    <w:p>
      <w:pPr>
        <w:pStyle w:val="1233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</w:pPr>
      <w:r>
        <w:t xml:space="preserve">изменения перечня единичных стоимостей, являющихся предметом закупки в соответствии с При</w:t>
      </w:r>
      <w:r>
        <w:t xml:space="preserve">ложением №1 «Техническое задание» </w:t>
      </w:r>
      <w:r>
        <w:rPr>
          <w:i/>
          <w:highlight w:val="lightGray"/>
        </w:rPr>
        <w:t xml:space="preserve">(данный пункт применяется, если в Приложении №1 «Техническое задание» указано, что предметом проведения закупки является снижение </w:t>
      </w:r>
      <w:r>
        <w:rPr>
          <w:i/>
          <w:highlight w:val="lightGray"/>
        </w:rPr>
        <w:t xml:space="preserve">единичной стоимости видов товаров)</w:t>
      </w:r>
      <w:r>
        <w:t xml:space="preserve">;</w:t>
      </w:r>
      <w:r/>
    </w:p>
    <w:p>
      <w:pPr>
        <w:pStyle w:val="1233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</w:pPr>
      <w:r>
        <w:t xml:space="preserve"> снижения НМЦ </w:t>
      </w:r>
      <w:r>
        <w:rPr>
          <w:highlight w:val="lightGray"/>
        </w:rPr>
        <w:t xml:space="preserve">(данный пункт применяется, если в Документ</w:t>
      </w:r>
      <w:r>
        <w:rPr>
          <w:highlight w:val="lightGray"/>
        </w:rPr>
        <w:t xml:space="preserve">ации о закупке/ Приложении №1 «Техническое задание» указано, что НМЦ является неизменной)</w:t>
      </w:r>
      <w:r>
        <w:t xml:space="preserve">;</w:t>
      </w:r>
      <w:r/>
    </w:p>
    <w:p>
      <w:pPr>
        <w:pStyle w:val="1233"/>
        <w:numPr>
          <w:ilvl w:val="0"/>
          <w:numId w:val="12"/>
        </w:numPr>
        <w:ind w:left="0" w:firstLine="0"/>
        <w:jc w:val="both"/>
        <w:widowControl w:val="off"/>
        <w:tabs>
          <w:tab w:val="left" w:pos="284" w:leader="none"/>
          <w:tab w:val="left" w:pos="567" w:leader="none"/>
          <w:tab w:val="left" w:pos="1134" w:leader="none"/>
        </w:tabs>
        <w:rPr>
          <w:rStyle w:val="1264"/>
          <w:color w:val="auto"/>
          <w:sz w:val="24"/>
          <w:szCs w:val="24"/>
        </w:rPr>
      </w:pPr>
      <w:r>
        <w:t xml:space="preserve">непредоставления</w:t>
      </w:r>
      <w:r>
        <w:t xml:space="preserve"> или некорректного составления  </w:t>
      </w:r>
      <w:r>
        <w:rPr>
          <w:rStyle w:val="1264"/>
          <w:sz w:val="24"/>
          <w:szCs w:val="24"/>
        </w:rPr>
        <w:t xml:space="preserve">документов, подтверждающих стоимость заявки участника (использование сборников, не предусмотренных </w:t>
      </w:r>
      <w:r>
        <w:t xml:space="preserve">в Приложении №1 «Т</w:t>
      </w:r>
      <w:r>
        <w:t xml:space="preserve">ехническое задание</w:t>
      </w:r>
      <w:r>
        <w:rPr>
          <w:rStyle w:val="1264"/>
          <w:sz w:val="24"/>
          <w:szCs w:val="24"/>
        </w:rPr>
        <w:t xml:space="preserve">», сборников, не соответствующих территориальной принадлежности объекта реконструкции; применение в расчете необоснованных коэффициентов; изменение структуры стоимости по лотам на ПИР, СМР, ПНР, несоответствие сметного расчета ведомости е</w:t>
      </w:r>
      <w:r>
        <w:rPr>
          <w:rStyle w:val="1264"/>
          <w:sz w:val="24"/>
          <w:szCs w:val="24"/>
        </w:rPr>
        <w:t xml:space="preserve">диничных расценок, предоставление ведомости единичных расценок со стоимостями, не соответствующими применяемой участником системы налогообложения,  отсутствие выделения суммы на дополнительные работы при лотах на ТО и </w:t>
      </w:r>
      <w:r>
        <w:rPr>
          <w:rStyle w:val="1264"/>
          <w:sz w:val="24"/>
          <w:szCs w:val="24"/>
        </w:rPr>
        <w:t xml:space="preserve">ТР</w:t>
      </w:r>
      <w:r>
        <w:rPr>
          <w:rStyle w:val="1264"/>
          <w:sz w:val="24"/>
          <w:szCs w:val="24"/>
        </w:rPr>
        <w:t xml:space="preserve"> автотранспортных средств, и т.д.);</w:t>
      </w:r>
      <w:r>
        <w:rPr>
          <w:rStyle w:val="1264"/>
          <w:color w:val="auto"/>
          <w:sz w:val="24"/>
          <w:szCs w:val="24"/>
        </w:rPr>
      </w:r>
      <w:r>
        <w:rPr>
          <w:rStyle w:val="1264"/>
          <w:color w:val="auto"/>
          <w:sz w:val="24"/>
          <w:szCs w:val="24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64"/>
          <w:color w:val="auto"/>
          <w:sz w:val="24"/>
          <w:szCs w:val="24"/>
        </w:rPr>
      </w:pPr>
      <w:r>
        <w:rPr>
          <w:rStyle w:val="1264"/>
          <w:sz w:val="24"/>
          <w:szCs w:val="24"/>
        </w:rPr>
        <w:t xml:space="preserve"> несоответствия сведений, указанных участником при заполнении соответствующих форм в интерфейсе ЭТП, сведениям, указанным в составе заявки на участие в Закупке (при незначительных отклонениях (в пределах 100 рублей) в ценовом предложении, указанном в заявк</w:t>
      </w:r>
      <w:r>
        <w:rPr>
          <w:rStyle w:val="1264"/>
          <w:sz w:val="24"/>
          <w:szCs w:val="24"/>
        </w:rPr>
        <w:t xml:space="preserve">е и интерфейсе ЭТП, Комиссия имеет право признать данное замечание несущественным и допустить заявку участника);</w:t>
      </w:r>
      <w:r>
        <w:rPr>
          <w:rStyle w:val="1264"/>
          <w:color w:val="auto"/>
          <w:sz w:val="24"/>
          <w:szCs w:val="24"/>
        </w:rPr>
      </w:r>
      <w:r>
        <w:rPr>
          <w:rStyle w:val="1264"/>
          <w:color w:val="auto"/>
          <w:sz w:val="24"/>
          <w:szCs w:val="24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64"/>
          <w:color w:val="auto"/>
          <w:sz w:val="24"/>
          <w:szCs w:val="24"/>
        </w:rPr>
      </w:pPr>
      <w:r>
        <w:rPr>
          <w:rStyle w:val="1264"/>
          <w:sz w:val="24"/>
          <w:szCs w:val="24"/>
        </w:rPr>
        <w:t xml:space="preserve">несоответствия сведений, указанных участником в оферте, сведениям, указанным в сводной таблице стоимости / спецификации на поставку ТМЦ</w:t>
      </w:r>
      <w:r>
        <w:rPr>
          <w:rStyle w:val="1264"/>
          <w:sz w:val="24"/>
          <w:szCs w:val="24"/>
        </w:rPr>
        <w:t xml:space="preserve"> (при незначительных отклонениях (в пределах 100 рублей) в ценовом предложении, указанном в оферте и сводной таблице стоимости / спецификации на поставку ТМЦ, Комиссия имеет право признать данное замечание несущественным и допустить заявку участника);</w:t>
      </w:r>
      <w:r>
        <w:rPr>
          <w:rStyle w:val="1264"/>
          <w:color w:val="auto"/>
          <w:sz w:val="24"/>
          <w:szCs w:val="24"/>
        </w:rPr>
      </w:r>
      <w:r>
        <w:rPr>
          <w:rStyle w:val="1264"/>
          <w:color w:val="auto"/>
          <w:sz w:val="24"/>
          <w:szCs w:val="24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851" w:leader="none"/>
        </w:tabs>
        <w:rPr>
          <w:rStyle w:val="1264"/>
          <w:color w:val="auto"/>
          <w:sz w:val="24"/>
          <w:szCs w:val="24"/>
        </w:rPr>
      </w:pPr>
      <w:r>
        <w:rPr>
          <w:rStyle w:val="1264"/>
          <w:sz w:val="24"/>
          <w:szCs w:val="24"/>
        </w:rPr>
        <w:t xml:space="preserve">ликв</w:t>
      </w:r>
      <w:r>
        <w:rPr>
          <w:rStyle w:val="1264"/>
          <w:sz w:val="24"/>
          <w:szCs w:val="24"/>
        </w:rPr>
        <w:t xml:space="preserve">идации участника </w:t>
      </w:r>
      <w:r>
        <w:t xml:space="preserve">Закупки</w:t>
      </w:r>
      <w:r>
        <w:rPr>
          <w:rStyle w:val="1264"/>
          <w:sz w:val="24"/>
          <w:szCs w:val="24"/>
        </w:rPr>
        <w:t xml:space="preserve"> - юридического лица; наличие решения арбитражного суда о признании участника </w:t>
      </w:r>
      <w:r>
        <w:t xml:space="preserve">Закупки </w:t>
      </w:r>
      <w:r>
        <w:rPr>
          <w:rStyle w:val="1264"/>
          <w:sz w:val="24"/>
          <w:szCs w:val="24"/>
        </w:rPr>
        <w:t xml:space="preserve">- юридического лица, индивидуального </w:t>
      </w:r>
      <w:r>
        <w:rPr>
          <w:rStyle w:val="1264"/>
          <w:color w:val="auto"/>
          <w:sz w:val="24"/>
          <w:szCs w:val="24"/>
        </w:rPr>
        <w:t xml:space="preserve">предпринимателя банкротом</w:t>
      </w:r>
      <w:r>
        <w:rPr>
          <w:bCs/>
        </w:rPr>
        <w:t xml:space="preserve">; наложение ареста на имущество участника Запроса предложений, необходимое для испол</w:t>
      </w:r>
      <w:r>
        <w:rPr>
          <w:bCs/>
        </w:rPr>
        <w:t xml:space="preserve">нения договора</w:t>
      </w:r>
      <w:r>
        <w:rPr>
          <w:rStyle w:val="1264"/>
          <w:color w:val="auto"/>
          <w:sz w:val="24"/>
          <w:szCs w:val="24"/>
        </w:rPr>
        <w:t xml:space="preserve">;</w:t>
      </w:r>
      <w:r>
        <w:rPr>
          <w:rStyle w:val="1264"/>
          <w:color w:val="auto"/>
          <w:sz w:val="24"/>
          <w:szCs w:val="24"/>
        </w:rPr>
      </w:r>
      <w:r>
        <w:rPr>
          <w:rStyle w:val="1264"/>
          <w:color w:val="auto"/>
          <w:sz w:val="24"/>
          <w:szCs w:val="24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</w:tabs>
        <w:rPr>
          <w:rStyle w:val="1264"/>
          <w:color w:val="auto"/>
          <w:sz w:val="24"/>
          <w:szCs w:val="24"/>
        </w:rPr>
      </w:pPr>
      <w:r>
        <w:rPr>
          <w:rStyle w:val="1264"/>
          <w:color w:val="auto"/>
          <w:sz w:val="24"/>
          <w:szCs w:val="24"/>
        </w:rPr>
        <w:t xml:space="preserve">приостановления деятельности участника</w:t>
      </w:r>
      <w:r>
        <w:rPr>
          <w:rStyle w:val="1120"/>
        </w:rPr>
        <w:footnoteReference w:id="2"/>
      </w:r>
      <w:r>
        <w:rPr>
          <w:rStyle w:val="1264"/>
          <w:color w:val="auto"/>
          <w:sz w:val="24"/>
          <w:szCs w:val="24"/>
        </w:rPr>
        <w:t xml:space="preserve"> </w:t>
      </w:r>
      <w:r>
        <w:t xml:space="preserve">Закупки</w:t>
      </w:r>
      <w:r>
        <w:rPr>
          <w:rStyle w:val="1264"/>
          <w:color w:val="auto"/>
          <w:sz w:val="24"/>
          <w:szCs w:val="24"/>
        </w:rPr>
        <w:t xml:space="preserve"> в порядке, предусмотренном законодательством РФ;</w:t>
      </w:r>
      <w:r>
        <w:rPr>
          <w:rStyle w:val="1264"/>
          <w:color w:val="auto"/>
          <w:sz w:val="24"/>
          <w:szCs w:val="24"/>
        </w:rPr>
      </w:r>
      <w:r>
        <w:rPr>
          <w:rStyle w:val="1264"/>
          <w:color w:val="auto"/>
          <w:sz w:val="24"/>
          <w:szCs w:val="24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rPr>
          <w:rStyle w:val="1264"/>
          <w:sz w:val="24"/>
          <w:szCs w:val="24"/>
        </w:rPr>
        <w:t xml:space="preserve">наличия информации о реорганизации участника Закупки, в случае если реорганизация приведет к прекращению деятельности участника</w:t>
      </w:r>
      <w:r>
        <w:rPr>
          <w:rStyle w:val="1264"/>
          <w:sz w:val="24"/>
          <w:szCs w:val="24"/>
        </w:rPr>
        <w:t xml:space="preserve"> или невозможности исполнения договора по результатам закупки. Данный подпункт не применяется в случае реорганизации в форме преобразования юридического лица одной организационно-правовой формы в юридическое лицо другой организационно-правовой формы (ч. 5 </w:t>
      </w:r>
      <w:r>
        <w:rPr>
          <w:rStyle w:val="1264"/>
          <w:sz w:val="24"/>
          <w:szCs w:val="24"/>
        </w:rPr>
        <w:t xml:space="preserve">ст. 58 ГК РФ)</w:t>
      </w:r>
      <w: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наличия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 (двадцать пять) процентов стоимости чи</w:t>
      </w:r>
      <w:r>
        <w:t xml:space="preserve">стых активов участника закупки. Данное условие не применяется в случае, если </w:t>
      </w:r>
      <w:r>
        <w:rPr>
          <w:rStyle w:val="1264"/>
          <w:sz w:val="24"/>
          <w:szCs w:val="24"/>
        </w:rPr>
        <w:t xml:space="preserve">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</w:t>
      </w:r>
      <w:r>
        <w:rPr>
          <w:rStyle w:val="1264"/>
          <w:sz w:val="24"/>
          <w:szCs w:val="24"/>
        </w:rPr>
        <w:t xml:space="preserve"> на участие в Закупке не принято. Участник должен приложить в составе Заявки документы, подтверждающие обжалование;</w:t>
      </w:r>
      <w:r>
        <w:rPr>
          <w:color w:val="000000"/>
        </w:rPr>
      </w:r>
      <w:r>
        <w:rPr>
          <w:color w:val="000000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предоставления участником Закупки ложных сведений;</w:t>
      </w:r>
      <w:r>
        <w:rPr>
          <w:color w:val="000000"/>
        </w:rPr>
      </w:r>
      <w:r>
        <w:rPr>
          <w:color w:val="000000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наличия информации об участнике Закупки в реестре </w:t>
      </w:r>
      <w:r>
        <w:rPr>
          <w:rFonts w:eastAsia="Arial Unicode MS"/>
        </w:rPr>
        <w:t xml:space="preserve">иностранных агентов</w:t>
      </w:r>
      <w:r>
        <w:t xml:space="preserve">, предусмотренном Фе</w:t>
      </w:r>
      <w:r>
        <w:t xml:space="preserve">деральным законом </w:t>
      </w:r>
      <w:r>
        <w:rPr>
          <w:rFonts w:eastAsia="Arial Unicode MS"/>
        </w:rPr>
        <w:t xml:space="preserve">от 14 июля 2022 года № 255-ФЗ "О </w:t>
      </w:r>
      <w:r>
        <w:rPr>
          <w:rFonts w:eastAsia="Arial Unicode MS"/>
        </w:rPr>
        <w:t xml:space="preserve">контроле за</w:t>
      </w:r>
      <w:r>
        <w:rPr>
          <w:rFonts w:eastAsia="Arial Unicode MS"/>
        </w:rPr>
        <w:t xml:space="preserve"> деятельностью лиц, находящихся под иностранным влиянием";</w:t>
      </w:r>
      <w:r>
        <w:rPr>
          <w:color w:val="000000"/>
        </w:rPr>
      </w:r>
      <w:r>
        <w:rPr>
          <w:color w:val="000000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наличия информации об участнике Закупки в реестре недобросовестных поставщиков, предусмотренном Федеральным законом от 05.04.2013 г. № </w:t>
      </w:r>
      <w:r>
        <w:t xml:space="preserve">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</w:t>
      </w:r>
      <w:r>
        <w:t xml:space="preserve">законом от 18.07.2011 г. № 223-ФЗ «О закупках товаров, рабо</w:t>
      </w:r>
      <w:r>
        <w:t xml:space="preserve">т, услуг отдельными видами юридических лиц»;</w:t>
      </w:r>
      <w:r>
        <w:rPr>
          <w:color w:val="000000"/>
        </w:rPr>
      </w:r>
      <w:r>
        <w:rPr>
          <w:color w:val="000000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color w:val="000000"/>
        </w:rPr>
      </w:pPr>
      <w:r>
        <w:t xml:space="preserve">наличия </w:t>
      </w:r>
      <w:r>
        <w:rPr>
          <w:rFonts w:eastAsia="Arial Unicode MS"/>
        </w:rPr>
        <w:t xml:space="preserve">документально подтвержденных фактов отказа оборудования (рекламационных актов, письменных рекламациях и т.п.), аварийных ситуаций вследствие эксплуатации продукции, иного негативного опыта эксплуатации п</w:t>
      </w:r>
      <w:r>
        <w:rPr>
          <w:rFonts w:eastAsia="Arial Unicode MS"/>
        </w:rPr>
        <w:t xml:space="preserve">родукции и не отмененных/признанных необоснованными в судебном порядке;</w:t>
      </w:r>
      <w:r>
        <w:rPr>
          <w:color w:val="000000"/>
        </w:rPr>
      </w:r>
      <w:r>
        <w:rPr>
          <w:color w:val="000000"/>
        </w:rPr>
      </w:r>
    </w:p>
    <w:p>
      <w:pPr>
        <w:pStyle w:val="1265"/>
        <w:numPr>
          <w:ilvl w:val="0"/>
          <w:numId w:val="12"/>
        </w:numPr>
        <w:ind w:left="0" w:firstLine="0"/>
        <w:spacing w:line="240" w:lineRule="auto"/>
        <w:tabs>
          <w:tab w:val="left" w:pos="284" w:leader="none"/>
          <w:tab w:val="left" w:pos="426" w:leader="none"/>
          <w:tab w:val="left" w:pos="851" w:leader="none"/>
        </w:tabs>
        <w:rPr>
          <w:rStyle w:val="1264"/>
          <w:sz w:val="24"/>
          <w:szCs w:val="24"/>
        </w:rPr>
      </w:pPr>
      <w:r>
        <w:rPr>
          <w:rStyle w:val="1264"/>
          <w:sz w:val="24"/>
          <w:szCs w:val="24"/>
        </w:rPr>
        <w:t xml:space="preserve">непредоставления</w:t>
      </w:r>
      <w:r>
        <w:rPr>
          <w:rStyle w:val="1264"/>
          <w:sz w:val="24"/>
          <w:szCs w:val="24"/>
        </w:rPr>
        <w:t xml:space="preserve"> финансового обеспечения заявки</w:t>
      </w:r>
      <w:r>
        <w:rPr>
          <w:bCs/>
        </w:rPr>
        <w:t xml:space="preserve"> или несоответствия условий и содержания обеспечения заявки требованиям Документации</w:t>
      </w:r>
      <w:r>
        <w:rPr>
          <w:rStyle w:val="1264"/>
          <w:sz w:val="24"/>
          <w:szCs w:val="24"/>
        </w:rPr>
        <w:t xml:space="preserve">;</w:t>
      </w:r>
      <w:r>
        <w:rPr>
          <w:rStyle w:val="1264"/>
          <w:sz w:val="24"/>
          <w:szCs w:val="24"/>
        </w:rPr>
      </w:r>
      <w:r>
        <w:rPr>
          <w:rStyle w:val="1264"/>
          <w:sz w:val="24"/>
          <w:szCs w:val="24"/>
        </w:rPr>
      </w:r>
    </w:p>
    <w:p>
      <w:pPr>
        <w:pStyle w:val="1258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несоответствия Участника Запроса предложений иным о</w:t>
      </w:r>
      <w:r>
        <w:rPr>
          <w:sz w:val="24"/>
          <w:szCs w:val="24"/>
        </w:rPr>
        <w:t xml:space="preserve">тборочным критериям, установленным в настоящей Документации, а также в Приложении №1 «Техническое задание» к настоящей Документации, в </w:t>
      </w:r>
      <w:r>
        <w:rPr>
          <w:sz w:val="24"/>
          <w:szCs w:val="24"/>
        </w:rPr>
        <w:t xml:space="preserve">т.ч</w:t>
      </w:r>
      <w:r>
        <w:rPr>
          <w:sz w:val="24"/>
          <w:szCs w:val="24"/>
        </w:rPr>
        <w:t xml:space="preserve">. с учетом установленных допустимых отклонений от числовых значений критериев (если таковые были установлены);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8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rStyle w:val="1264"/>
          <w:color w:val="auto"/>
          <w:sz w:val="24"/>
          <w:szCs w:val="24"/>
        </w:rPr>
      </w:pPr>
      <w:r>
        <w:rPr>
          <w:sz w:val="24"/>
          <w:szCs w:val="24"/>
        </w:rPr>
        <w:t xml:space="preserve">непредо</w:t>
      </w:r>
      <w:r>
        <w:rPr>
          <w:sz w:val="24"/>
          <w:szCs w:val="24"/>
        </w:rPr>
        <w:t xml:space="preserve">ставления</w:t>
      </w:r>
      <w:r>
        <w:rPr>
          <w:sz w:val="24"/>
          <w:szCs w:val="24"/>
        </w:rPr>
        <w:t xml:space="preserve">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</w:t>
      </w:r>
      <w:r>
        <w:rPr>
          <w:rStyle w:val="1264"/>
          <w:sz w:val="24"/>
          <w:szCs w:val="24"/>
        </w:rPr>
        <w:t xml:space="preserve">;</w:t>
      </w:r>
      <w:r>
        <w:rPr>
          <w:rStyle w:val="1264"/>
          <w:color w:val="auto"/>
          <w:sz w:val="24"/>
          <w:szCs w:val="24"/>
        </w:rPr>
      </w:r>
      <w:r>
        <w:rPr>
          <w:rStyle w:val="1264"/>
          <w:color w:val="auto"/>
          <w:sz w:val="24"/>
          <w:szCs w:val="24"/>
        </w:rPr>
      </w:r>
    </w:p>
    <w:p>
      <w:pPr>
        <w:pStyle w:val="1258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rStyle w:val="1264"/>
          <w:sz w:val="24"/>
          <w:szCs w:val="24"/>
        </w:rPr>
      </w:pPr>
      <w:r>
        <w:rPr>
          <w:rStyle w:val="1264"/>
          <w:sz w:val="24"/>
          <w:szCs w:val="24"/>
        </w:rPr>
        <w:t xml:space="preserve">непредоставления</w:t>
      </w:r>
      <w:r>
        <w:rPr>
          <w:rStyle w:val="1264"/>
          <w:sz w:val="24"/>
          <w:szCs w:val="24"/>
        </w:rPr>
        <w:t xml:space="preserve"> с</w:t>
      </w:r>
      <w:r>
        <w:rPr>
          <w:rStyle w:val="1264"/>
          <w:sz w:val="24"/>
          <w:szCs w:val="24"/>
        </w:rPr>
        <w:t xml:space="preserve">правки о наличии конфликта интересов и/или связей, носящих характер </w:t>
      </w:r>
      <w:r>
        <w:rPr>
          <w:rStyle w:val="1264"/>
          <w:sz w:val="24"/>
          <w:szCs w:val="24"/>
        </w:rPr>
        <w:t xml:space="preserve">аффилированности</w:t>
      </w:r>
      <w:r>
        <w:rPr>
          <w:rStyle w:val="1264"/>
          <w:sz w:val="24"/>
          <w:szCs w:val="24"/>
        </w:rPr>
        <w:t xml:space="preserve"> с сотрудниками Заказчика или Организатора закупки;</w:t>
      </w:r>
      <w:r>
        <w:rPr>
          <w:rStyle w:val="1264"/>
          <w:sz w:val="24"/>
          <w:szCs w:val="24"/>
        </w:rPr>
      </w:r>
      <w:r>
        <w:rPr>
          <w:rStyle w:val="1264"/>
          <w:sz w:val="24"/>
          <w:szCs w:val="24"/>
        </w:rPr>
      </w:r>
    </w:p>
    <w:p>
      <w:pPr>
        <w:pStyle w:val="1258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несоответствия Заявки требованиям настоящей Документации, в том числе в части оформления заявки на участие;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8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непредоставл</w:t>
      </w:r>
      <w:r>
        <w:rPr>
          <w:sz w:val="24"/>
          <w:szCs w:val="24"/>
        </w:rPr>
        <w:t xml:space="preserve">ения</w:t>
      </w:r>
      <w:r>
        <w:rPr>
          <w:sz w:val="24"/>
          <w:szCs w:val="24"/>
        </w:rPr>
        <w:t xml:space="preserve"> выписки из ЕГРЮЛ/ЕГРИП при отсутствии сведений об участнике на сайте ФНС России по адресу: </w:t>
      </w:r>
      <w:r>
        <w:rPr>
          <w:sz w:val="24"/>
          <w:szCs w:val="24"/>
          <w:lang w:val="en-US"/>
        </w:rPr>
        <w:t xml:space="preserve">egrul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en-US"/>
        </w:rPr>
        <w:t xml:space="preserve">nalog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en-US"/>
        </w:rPr>
        <w:t xml:space="preserve">ru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8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наличия в цепочке собственников компаний, зарегистрированных в офшорных зонах [</w:t>
      </w:r>
      <w:r>
        <w:rPr>
          <w:i/>
          <w:sz w:val="24"/>
          <w:szCs w:val="24"/>
          <w:highlight w:val="lightGray"/>
        </w:rPr>
        <w:t xml:space="preserve">данное требование применяется при закупках на поставку ТМЦ</w:t>
      </w:r>
      <w:r>
        <w:rPr>
          <w:sz w:val="24"/>
          <w:szCs w:val="24"/>
        </w:rPr>
        <w:t xml:space="preserve">];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8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нали</w:t>
      </w:r>
      <w:r>
        <w:rPr>
          <w:sz w:val="24"/>
          <w:szCs w:val="24"/>
        </w:rPr>
        <w:t xml:space="preserve">чия на момент окончания срока подачи заявок срывов (нарушений) сроков поставки по договорам с Заказчиком, где вина Участника за срыв (нарушение) сроков поставки доказана в судебном порядке и имеются непогашенные исполнительные листы по выплате неустойки и/</w:t>
      </w:r>
      <w:r>
        <w:rPr>
          <w:sz w:val="24"/>
          <w:szCs w:val="24"/>
        </w:rPr>
        <w:t xml:space="preserve">или убытков в пользу Заказчика, либо если нарушение сроков поставки Участником по договорам с Заказчиком признано в любой форме самим Участником, а также наличие</w:t>
      </w:r>
      <w:r>
        <w:rPr>
          <w:sz w:val="24"/>
          <w:szCs w:val="24"/>
        </w:rPr>
        <w:t xml:space="preserve"> не предусмотренных законом или договором случаев отказов Участника от исполнения договоров/осу</w:t>
      </w:r>
      <w:r>
        <w:rPr>
          <w:sz w:val="24"/>
          <w:szCs w:val="24"/>
        </w:rPr>
        <w:t xml:space="preserve">ществления обязательств по договорам с Заказчиком полностью или в части, если случаи, указанные в настоящем пункте, произошли в последние 24 месяца до подачи заявки Участником [</w:t>
      </w:r>
      <w:r>
        <w:rPr>
          <w:i/>
          <w:sz w:val="24"/>
          <w:szCs w:val="24"/>
          <w:highlight w:val="lightGray"/>
        </w:rPr>
        <w:t xml:space="preserve">данное требование применяется при закупках на поставку ТМЦ</w:t>
      </w:r>
      <w:r>
        <w:rPr>
          <w:sz w:val="24"/>
          <w:szCs w:val="24"/>
        </w:rPr>
        <w:t xml:space="preserve">].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8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непредоставления</w:t>
      </w:r>
      <w:r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правки о состоянии задолженности по уплате налогов и других обязательных платежей, несоответствия срока действия справки, отсутствия подтверждения от налогового органа факта выдачи данной справки, отсутствие в справке даты выдачи или номера документа;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8"/>
        <w:numPr>
          <w:ilvl w:val="0"/>
          <w:numId w:val="12"/>
        </w:numPr>
        <w:ind w:left="0" w:firstLine="0"/>
        <w:widowControl w:val="off"/>
        <w:tabs>
          <w:tab w:val="left" w:pos="284" w:leader="none"/>
          <w:tab w:val="left" w:pos="426" w:leader="none"/>
          <w:tab w:val="left" w:pos="851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размещения на ЭТП файлов, защищенных паролем от просмотра содержимого, а также размещения файлов не в общепринятом формате, требующим </w:t>
      </w:r>
      <w:r>
        <w:rPr>
          <w:sz w:val="24"/>
          <w:szCs w:val="24"/>
        </w:rPr>
        <w:t xml:space="preserve">специализированное</w:t>
      </w:r>
      <w:r>
        <w:rPr>
          <w:sz w:val="24"/>
          <w:szCs w:val="24"/>
        </w:rPr>
        <w:t xml:space="preserve"> ПО для их просмотра.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3"/>
          <w:numId w:val="2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При проверке правильности оформления заявок Комиссия вправе </w:t>
      </w:r>
      <w:r>
        <w:t xml:space="preserve">не обращать внимание</w:t>
      </w:r>
      <w:r>
        <w:t xml:space="preserve"> н</w:t>
      </w:r>
      <w:r>
        <w:t xml:space="preserve">а мелкие недочеты и погрешности, которые не влияют на суть Заявки. </w:t>
      </w:r>
      <w:r/>
    </w:p>
    <w:p>
      <w:pPr>
        <w:pStyle w:val="1233"/>
        <w:numPr>
          <w:ilvl w:val="3"/>
          <w:numId w:val="2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Если в заявке имеются расхождения между обозначением сумм словами и цифрами, то Комиссией принимается к рассмотрению сумма, указанная словами.</w:t>
      </w:r>
      <w:r/>
    </w:p>
    <w:p>
      <w:pPr>
        <w:pStyle w:val="1233"/>
        <w:numPr>
          <w:ilvl w:val="3"/>
          <w:numId w:val="2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По результатам </w:t>
      </w:r>
      <w:r>
        <w:t xml:space="preserve">рассмотрения и оценки заявок участников, а также участников закупки, комиссией принимается решение: </w:t>
      </w:r>
      <w:r/>
    </w:p>
    <w:p>
      <w:pPr>
        <w:pStyle w:val="916"/>
        <w:numPr>
          <w:ilvl w:val="0"/>
          <w:numId w:val="9"/>
        </w:numPr>
        <w:ind w:left="0" w:firstLine="0"/>
        <w:keepNext w:val="0"/>
        <w:spacing w:before="0" w:after="0"/>
        <w:widowControl w:val="off"/>
        <w:tabs>
          <w:tab w:val="num" w:pos="0" w:leader="none"/>
          <w:tab w:val="left" w:pos="426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заявки участника соответствующей требованиям документации о закупке и допуске к дальнейшему участию в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16"/>
        <w:ind w:left="0" w:firstLine="0"/>
        <w:keepNext w:val="0"/>
        <w:spacing w:before="0" w:after="0"/>
        <w:widowControl w:val="off"/>
        <w:tabs>
          <w:tab w:val="clear" w:pos="1148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о признании заявки участника </w:t>
      </w:r>
      <w:r>
        <w:rPr>
          <w:rFonts w:ascii="Times New Roman" w:hAnsi="Times New Roman" w:cs="Times New Roman"/>
        </w:rPr>
        <w:t xml:space="preserve">несоответствующей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233"/>
        <w:numPr>
          <w:ilvl w:val="3"/>
          <w:numId w:val="27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В случае если до момента подписания договора будет выявлено, что решение Закупочной комиссии принято с нарушением требований норм действующего законода</w:t>
      </w:r>
      <w:r>
        <w:t xml:space="preserve">тельства, Стандарта и/или документации о закупке, Закупочная комиссия обязана отменить ранее принятые решения и провести процедуры рассмотрения, оценки и </w:t>
      </w:r>
      <w:r>
        <w:t xml:space="preserve">сопоставления заявок повторно с учетом выявленных нарушений. </w:t>
      </w:r>
      <w:r/>
    </w:p>
    <w:p>
      <w:pPr>
        <w:pStyle w:val="1233"/>
        <w:ind w:left="0"/>
        <w:jc w:val="both"/>
        <w:widowControl w:val="off"/>
        <w:tabs>
          <w:tab w:val="left" w:pos="1134" w:leader="none"/>
        </w:tabs>
        <w:rPr>
          <w:rStyle w:val="1264"/>
          <w:sz w:val="24"/>
          <w:szCs w:val="24"/>
        </w:rPr>
      </w:pPr>
      <w:r>
        <w:rPr>
          <w:sz w:val="24"/>
          <w:szCs w:val="24"/>
        </w:rPr>
      </w:r>
      <w:r>
        <w:rPr>
          <w:rStyle w:val="1264"/>
          <w:sz w:val="24"/>
          <w:szCs w:val="24"/>
        </w:rPr>
      </w:r>
      <w:r>
        <w:rPr>
          <w:rStyle w:val="1264"/>
          <w:sz w:val="24"/>
          <w:szCs w:val="24"/>
        </w:rPr>
      </w:r>
    </w:p>
    <w:p>
      <w:pPr>
        <w:pStyle w:val="914"/>
        <w:numPr>
          <w:ilvl w:val="0"/>
          <w:numId w:val="40"/>
        </w:numPr>
        <w:ind w:left="0" w:firstLine="0"/>
        <w:jc w:val="both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34" w:name="_Ref516112628"/>
      <w:r/>
      <w:bookmarkStart w:id="35" w:name="_Toc1149379"/>
      <w:r/>
      <w:bookmarkStart w:id="36" w:name="_Toc4584770"/>
      <w:r/>
      <w:bookmarkStart w:id="37" w:name="_Toc189054398"/>
      <w:r>
        <w:rPr>
          <w:sz w:val="24"/>
          <w:szCs w:val="24"/>
        </w:rPr>
        <w:t xml:space="preserve">Дополнительные запросы разъяснений заяв</w:t>
      </w:r>
      <w:r>
        <w:rPr>
          <w:sz w:val="24"/>
          <w:szCs w:val="24"/>
        </w:rPr>
        <w:t xml:space="preserve">ок Участников</w:t>
      </w:r>
      <w:bookmarkEnd w:id="34"/>
      <w:r/>
      <w:bookmarkEnd w:id="35"/>
      <w:r/>
      <w:bookmarkEnd w:id="36"/>
      <w:r/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6"/>
        <w:numPr>
          <w:ilvl w:val="2"/>
          <w:numId w:val="35"/>
        </w:numPr>
        <w:contextualSpacing/>
        <w:ind w:left="0" w:firstLine="0"/>
        <w:widowControl w:val="off"/>
        <w:tabs>
          <w:tab w:val="left" w:pos="993" w:leader="none"/>
        </w:tabs>
      </w:pPr>
      <w:r/>
      <w:bookmarkStart w:id="38" w:name="_Ref481099943"/>
      <w:r/>
      <w:bookmarkStart w:id="39" w:name="_Ref501535498"/>
      <w:r>
        <w:t xml:space="preserve">В рамках процедуры рассмотрения заявок участников, в случае если это не приведет к нарушению сроков, указанных в п.22 Извещения о закупке, Организатор вправе направить в адрес Участника дополнительный запрос разъяснений его заявки</w:t>
      </w:r>
      <w:bookmarkEnd w:id="38"/>
      <w:r/>
      <w:bookmarkEnd w:id="39"/>
      <w:r>
        <w:t xml:space="preserve"> в следующих</w:t>
      </w:r>
      <w:r>
        <w:t xml:space="preserve"> случаях:</w:t>
      </w:r>
      <w:r/>
    </w:p>
    <w:p>
      <w:pPr>
        <w:pStyle w:val="1217"/>
        <w:numPr>
          <w:ilvl w:val="3"/>
          <w:numId w:val="36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 </w:t>
      </w:r>
      <w:r>
        <w:rPr>
          <w:iCs/>
        </w:rPr>
        <w:t xml:space="preserve">предоставить документы</w:t>
      </w:r>
      <w:r>
        <w:rPr>
          <w:iCs/>
        </w:rPr>
        <w:t xml:space="preserve">, которые </w:t>
      </w:r>
      <w:bookmarkStart w:id="40" w:name="_Ref481099920"/>
      <w:r>
        <w:rPr>
          <w:iCs/>
        </w:rPr>
        <w:t xml:space="preserve">размещены в составе заявки Участника в нечитаемом виде;</w:t>
      </w:r>
      <w:bookmarkEnd w:id="40"/>
      <w:r>
        <w:rPr>
          <w:iCs/>
        </w:rPr>
      </w:r>
      <w:r>
        <w:rPr>
          <w:iCs/>
        </w:rPr>
      </w:r>
    </w:p>
    <w:p>
      <w:pPr>
        <w:pStyle w:val="1217"/>
        <w:numPr>
          <w:ilvl w:val="3"/>
          <w:numId w:val="36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/>
      <w:bookmarkStart w:id="41" w:name="_Ref456690033"/>
      <w:r/>
      <w:bookmarkStart w:id="42" w:name="_Ref442966298"/>
      <w:r/>
      <w:bookmarkEnd w:id="41"/>
      <w:r/>
      <w:bookmarkEnd w:id="42"/>
      <w:r>
        <w:rPr>
          <w:iCs/>
        </w:rPr>
        <w:t xml:space="preserve">требуется представить заполненные документы, в которых ранее были пропущены сведения (решение о запросе принимает Комиссия с учетом п. 4.1.1. и инст</w:t>
      </w:r>
      <w:r>
        <w:rPr>
          <w:iCs/>
        </w:rPr>
        <w:t xml:space="preserve">рукций по заполнению соответствующих форм настоящей Документации);</w:t>
      </w:r>
      <w:r>
        <w:rPr>
          <w:iCs/>
        </w:rPr>
      </w:r>
      <w:r>
        <w:rPr>
          <w:iCs/>
        </w:rPr>
      </w:r>
    </w:p>
    <w:p>
      <w:pPr>
        <w:pStyle w:val="1217"/>
        <w:numPr>
          <w:ilvl w:val="3"/>
          <w:numId w:val="36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 предоставить разъяснение применения Участником в сметном расчете коэффициентов;</w:t>
      </w:r>
      <w:r>
        <w:rPr>
          <w:iCs/>
        </w:rPr>
      </w:r>
      <w:r>
        <w:rPr>
          <w:iCs/>
        </w:rPr>
      </w:r>
    </w:p>
    <w:p>
      <w:pPr>
        <w:pStyle w:val="1217"/>
        <w:numPr>
          <w:ilvl w:val="3"/>
          <w:numId w:val="36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 представить справку о цепочке собственников с указанием актуальных сведений;</w:t>
      </w:r>
      <w:r>
        <w:rPr>
          <w:iCs/>
        </w:rPr>
      </w:r>
      <w:r>
        <w:rPr>
          <w:iCs/>
        </w:rPr>
      </w:r>
    </w:p>
    <w:p>
      <w:pPr>
        <w:pStyle w:val="1217"/>
        <w:numPr>
          <w:ilvl w:val="3"/>
          <w:numId w:val="36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требуется пр</w:t>
      </w:r>
      <w:r>
        <w:rPr>
          <w:iCs/>
        </w:rPr>
        <w:t xml:space="preserve">едставить независимую гарантию (дополнение к независимой гарантии), заполненную по форме настоящей Документации и в соответствии с инструкцией по ее заполнению, в которой ранее были пропущены сведения (решение о запросе принимает Комиссия с учетом п. 4.1.1</w:t>
      </w:r>
      <w:r>
        <w:rPr>
          <w:iCs/>
        </w:rPr>
        <w:t xml:space="preserve">. и инструкций по заполнению соответствующих форм настоящей Документации);</w:t>
      </w:r>
      <w:r>
        <w:rPr>
          <w:iCs/>
        </w:rPr>
      </w:r>
      <w:r>
        <w:rPr>
          <w:iCs/>
        </w:rPr>
      </w:r>
    </w:p>
    <w:p>
      <w:pPr>
        <w:pStyle w:val="1217"/>
        <w:numPr>
          <w:ilvl w:val="3"/>
          <w:numId w:val="36"/>
        </w:numPr>
        <w:contextualSpacing/>
        <w:ind w:left="0" w:firstLine="0"/>
        <w:widowControl w:val="off"/>
        <w:tabs>
          <w:tab w:val="left" w:pos="426" w:leader="none"/>
          <w:tab w:val="left" w:pos="1134" w:leader="none"/>
        </w:tabs>
        <w:rPr>
          <w:iCs/>
        </w:rPr>
      </w:pPr>
      <w:r>
        <w:rPr>
          <w:iCs/>
        </w:rPr>
        <w:t xml:space="preserve">в заявке имеются разночтения или положения, допускающие неоднозначное толкование, не позволяющие определить соответствие заявки или Участника требованиям Документации о закупке.</w:t>
      </w:r>
      <w:r>
        <w:rPr>
          <w:iCs/>
        </w:rPr>
      </w:r>
      <w:r>
        <w:rPr>
          <w:iCs/>
        </w:rPr>
      </w:r>
    </w:p>
    <w:p>
      <w:pPr>
        <w:pStyle w:val="1216"/>
        <w:numPr>
          <w:ilvl w:val="2"/>
          <w:numId w:val="35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При оценке заявок участников допускается направление разъяснений заявки только по основаниям, предусмотренным подп. 6) п. 2.11.3.1 настоящей Документации - при наличии разночтений или положений, допускающих неоднозначное толкование документов, предоставлен</w:t>
      </w:r>
      <w:r>
        <w:t xml:space="preserve">ных в составе заявки при выставлении соответствующих баллов. </w:t>
      </w:r>
      <w:r>
        <w:t xml:space="preserve">Дозапрос</w:t>
      </w:r>
      <w:r>
        <w:t xml:space="preserve"> по оценочным критериям по иным основаниям, не предусмотренным настоящим пунктом, не допускается.</w:t>
      </w:r>
      <w:r/>
    </w:p>
    <w:p>
      <w:pPr>
        <w:pStyle w:val="1216"/>
        <w:numPr>
          <w:ilvl w:val="2"/>
          <w:numId w:val="35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Не допускаются запросы со стороны Организатора закупки, а также ответы со стороны участни</w:t>
      </w:r>
      <w:r>
        <w:t xml:space="preserve">ков закупки изменяющие суть заявки, включая изменение коммерческих условий заявки (предмета, объема, цены, номенклатуры предлагаемой продукции, сроков и условий поставки, графика поставки или платежа, иных коммерческих условий), которые вносят изменения в </w:t>
      </w:r>
      <w:r>
        <w:t xml:space="preserve">документы, в том числе подтверждающие стоимость заявки (</w:t>
      </w:r>
      <w:r>
        <w:t xml:space="preserve">пп</w:t>
      </w:r>
      <w:r>
        <w:t xml:space="preserve">. 3 п. 4.2.1. настоящей Документации), включая изменение структуры стоимости</w:t>
      </w:r>
      <w:r>
        <w:t xml:space="preserve"> (</w:t>
      </w:r>
      <w:r>
        <w:t xml:space="preserve">в том числе изменение значений по заявленным до запроса позициям в Спецификации на поставку</w:t>
      </w:r>
      <w:r>
        <w:t xml:space="preserve"> ТМЦ), а также запросы по осн</w:t>
      </w:r>
      <w:r>
        <w:t xml:space="preserve">ованиям, не предусмотренным п. 2.11.3.1. настоящей Документации о закупке.</w:t>
      </w:r>
      <w:r/>
    </w:p>
    <w:p>
      <w:pPr>
        <w:pStyle w:val="1216"/>
        <w:numPr>
          <w:ilvl w:val="2"/>
          <w:numId w:val="35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закупки.</w:t>
      </w:r>
      <w:r/>
    </w:p>
    <w:p>
      <w:pPr>
        <w:pStyle w:val="1216"/>
        <w:numPr>
          <w:ilvl w:val="2"/>
          <w:numId w:val="35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Дополнительные запросы напра</w:t>
      </w:r>
      <w:r>
        <w:t xml:space="preserve">вляются одновременно (в один день) всем Участникам, у которых был выявлен факт несоответствий по основаниям, перечисленным в пункте </w:t>
      </w:r>
      <w:r>
        <w:fldChar w:fldCharType="begin"/>
      </w:r>
      <w:r>
        <w:instrText xml:space="preserve"> REF _Ref501535498 \r \h  \* MERGEFORMAT </w:instrText>
      </w:r>
      <w:r>
        <w:fldChar w:fldCharType="separate"/>
      </w:r>
      <w:r>
        <w:t xml:space="preserve">2.11.3.1</w:t>
      </w:r>
      <w:r>
        <w:fldChar w:fldCharType="end"/>
      </w:r>
      <w:r>
        <w:t xml:space="preserve">. В случ</w:t>
      </w:r>
      <w:r>
        <w:t xml:space="preserve">ае наличия замечаний, не предусмотренных п. 2.11.3.1. настоящей Документации запросы такому участнику не направляются, заявка подлежит отклонению. </w:t>
      </w:r>
      <w:r/>
    </w:p>
    <w:p>
      <w:pPr>
        <w:pStyle w:val="1216"/>
        <w:numPr>
          <w:ilvl w:val="2"/>
          <w:numId w:val="35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Срок предоставления разъяснений Участниками своих заявок устанавливается одинаковый для всех и составляет не</w:t>
      </w:r>
      <w:r>
        <w:t xml:space="preserve"> менее 1 (одного) рабочего дня с момента направления запроса в адрес Участника. </w:t>
      </w:r>
      <w:r/>
    </w:p>
    <w:p>
      <w:pPr>
        <w:pStyle w:val="1216"/>
        <w:numPr>
          <w:ilvl w:val="2"/>
          <w:numId w:val="35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порядке, предусмотрен</w:t>
      </w:r>
      <w:r>
        <w:t xml:space="preserve">ном Регламентом ЭТП. Ответы Участников, поступившие не через ЭТП, к рассмотрению не принимаются.</w:t>
      </w:r>
      <w:r/>
    </w:p>
    <w:p>
      <w:pPr>
        <w:pStyle w:val="1216"/>
        <w:numPr>
          <w:ilvl w:val="2"/>
          <w:numId w:val="35"/>
        </w:numPr>
        <w:contextualSpacing/>
        <w:ind w:left="0" w:firstLine="0"/>
        <w:widowControl w:val="off"/>
        <w:tabs>
          <w:tab w:val="left" w:pos="993" w:leader="none"/>
        </w:tabs>
      </w:pPr>
      <w:r>
        <w:t xml:space="preserve">Непредоставление</w:t>
      </w:r>
      <w:r>
        <w:t xml:space="preserve"> или предоставление не в полном объеме запрашиваемых документов и/или разъяснений в установленный в запросе срок служит основанием для отклонен</w:t>
      </w:r>
      <w:r>
        <w:t xml:space="preserve">ия заявки такого Участника по условиям пунктов 2.11.2.7, если Организатором не принято решение </w:t>
      </w:r>
      <w:r>
        <w:t xml:space="preserve">о</w:t>
      </w:r>
      <w:r>
        <w:t xml:space="preserve"> повторном </w:t>
      </w:r>
      <w:r>
        <w:t xml:space="preserve">дозапросе</w:t>
      </w:r>
      <w:r>
        <w:t xml:space="preserve">.</w:t>
      </w:r>
      <w:r/>
    </w:p>
    <w:p>
      <w:pPr>
        <w:pStyle w:val="914"/>
        <w:numPr>
          <w:ilvl w:val="0"/>
          <w:numId w:val="40"/>
        </w:numPr>
        <w:ind w:left="0" w:firstLine="0"/>
        <w:jc w:val="both"/>
        <w:keepNext w:val="0"/>
        <w:spacing w:after="0"/>
        <w:widowControl w:val="off"/>
        <w:tabs>
          <w:tab w:val="left" w:pos="851" w:leader="none"/>
        </w:tabs>
        <w:rPr>
          <w:sz w:val="24"/>
          <w:szCs w:val="24"/>
        </w:rPr>
      </w:pPr>
      <w:r/>
      <w:bookmarkStart w:id="43" w:name="_Ref468097559"/>
      <w:r/>
      <w:bookmarkStart w:id="44" w:name="_Ref500427197"/>
      <w:r/>
      <w:bookmarkStart w:id="45" w:name="_Toc55312032"/>
      <w:r/>
      <w:bookmarkStart w:id="46" w:name="_Toc189054399"/>
      <w:r>
        <w:rPr>
          <w:sz w:val="24"/>
          <w:szCs w:val="24"/>
        </w:rPr>
        <w:t xml:space="preserve">Применение преференций</w:t>
      </w:r>
      <w:bookmarkEnd w:id="43"/>
      <w:r/>
      <w:bookmarkEnd w:id="44"/>
      <w:r/>
      <w:bookmarkEnd w:id="45"/>
      <w:r/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16"/>
        <w:ind w:left="0" w:firstLine="0"/>
        <w:widowControl w:val="off"/>
        <w:tabs>
          <w:tab w:val="left" w:pos="851" w:leader="none"/>
          <w:tab w:val="clear" w:pos="1980" w:leader="none"/>
        </w:tabs>
      </w:pPr>
      <w:r>
        <w:rPr>
          <w:bCs/>
        </w:rPr>
        <w:t xml:space="preserve">2.11.4.1 Преференции предоставляются в соответствии со статьями 3 и 3.1-4 Федерального закона от 18.07.2011 № 223-Ф</w:t>
      </w:r>
      <w:r>
        <w:rPr>
          <w:bCs/>
        </w:rPr>
        <w:t xml:space="preserve">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  <w:r/>
    </w:p>
    <w:p>
      <w:pPr>
        <w:spacing w:after="0"/>
        <w:widowControl w:val="off"/>
      </w:pPr>
      <w:r/>
      <w:r/>
    </w:p>
    <w:p>
      <w:pPr>
        <w:pStyle w:val="914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47" w:name="_Toc189054400"/>
      <w:r>
        <w:rPr>
          <w:sz w:val="24"/>
          <w:szCs w:val="24"/>
        </w:rPr>
        <w:t xml:space="preserve">Переторжка</w:t>
      </w:r>
      <w:bookmarkEnd w:id="4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numPr>
          <w:ilvl w:val="3"/>
          <w:numId w:val="29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запроса предложений в электронной форме переторжка проводитс</w:t>
      </w:r>
      <w:r>
        <w:rPr>
          <w:rFonts w:ascii="Times New Roman" w:hAnsi="Times New Roman" w:cs="Times New Roman"/>
          <w:b w:val="0"/>
          <w:bCs w:val="0"/>
        </w:rPr>
        <w:t xml:space="preserve">я в обязательном порядке, за исключением случаев, предусмотренных Положением о закупке Заказчика. 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3"/>
          <w:numId w:val="29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условии допуска к участию в закупке одного</w:t>
      </w:r>
      <w:r>
        <w:rPr>
          <w:rFonts w:ascii="Times New Roman" w:hAnsi="Times New Roman" w:cs="Times New Roman"/>
          <w:b w:val="0"/>
        </w:rPr>
        <w:t xml:space="preserve">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3"/>
          <w:numId w:val="29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 при собственном лидирующем (наилучшем)</w:t>
      </w:r>
      <w:r>
        <w:rPr>
          <w:rFonts w:ascii="Times New Roman" w:hAnsi="Times New Roman" w:cs="Times New Roman"/>
          <w:b w:val="0"/>
        </w:rPr>
        <w:t xml:space="preserve">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 до пе</w:t>
      </w:r>
      <w:r>
        <w:rPr>
          <w:rFonts w:ascii="Times New Roman" w:hAnsi="Times New Roman" w:cs="Times New Roman"/>
          <w:b w:val="0"/>
        </w:rPr>
        <w:t xml:space="preserve">реторжки.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3"/>
          <w:numId w:val="29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дополнительно предоставить откорректированные с учетом новой цены, полученной после переторжки, документы, указанные</w:t>
      </w:r>
      <w:r>
        <w:rPr>
          <w:rFonts w:ascii="Times New Roman" w:hAnsi="Times New Roman" w:cs="Times New Roman"/>
          <w:b w:val="0"/>
        </w:rPr>
        <w:t xml:space="preserve"> в п. 4.2.1. настоящей Документации по следующим подпунктам:  подп. 1) (письмо о подаче оферты), подп. 2) (спецификация на поставку ТМЦ).</w:t>
      </w:r>
      <w:r>
        <w:rPr>
          <w:rFonts w:ascii="Times New Roman" w:hAnsi="Times New Roman" w:cs="Times New Roman"/>
          <w:b w:val="0"/>
        </w:rPr>
        <w:t xml:space="preserve"> Документы на переторжку должны быть размещены на ЭТП в соответствии с правилами и инструкциями работы данной системы. </w:t>
      </w:r>
      <w:r>
        <w:rPr>
          <w:rFonts w:ascii="Times New Roman" w:hAnsi="Times New Roman" w:cs="Times New Roman"/>
          <w:b w:val="0"/>
        </w:rPr>
        <w:t xml:space="preserve">Срок предоставления документов на переторжку указывается на ЭТП.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915"/>
        <w:numPr>
          <w:ilvl w:val="3"/>
          <w:numId w:val="29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</w:t>
      </w:r>
      <w:r>
        <w:rPr>
          <w:rFonts w:ascii="Times New Roman" w:hAnsi="Times New Roman" w:cs="Times New Roman"/>
          <w:b w:val="0"/>
        </w:rPr>
        <w:t xml:space="preserve">непредоставления</w:t>
      </w:r>
      <w:r>
        <w:rPr>
          <w:rFonts w:ascii="Times New Roman" w:hAnsi="Times New Roman" w:cs="Times New Roman"/>
          <w:b w:val="0"/>
        </w:rPr>
        <w:t xml:space="preserve"> документов, подтверждающих новую стоимость заявки, полученную в результате проведения процедуры переторжки, увеличения стоимости позиций, заявленных до переторжки в</w:t>
      </w:r>
      <w:r>
        <w:rPr>
          <w:rFonts w:ascii="Times New Roman" w:hAnsi="Times New Roman" w:cs="Times New Roman"/>
          <w:b w:val="0"/>
        </w:rPr>
        <w:t xml:space="preserve"> спецификации на поставку ТМЦ [для закупок на поставку ТМЦ], Участник считается не принявшим участие в переторжке.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915"/>
        <w:numPr>
          <w:ilvl w:val="3"/>
          <w:numId w:val="29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При наступлении случаев, указанных в п. 2.12.5., Организатор закупки учитывает минимальную цену Заявки участника, подтверждённую обосновываю</w:t>
      </w:r>
      <w:r>
        <w:rPr>
          <w:rFonts w:ascii="Times New Roman" w:hAnsi="Times New Roman" w:cs="Times New Roman"/>
          <w:b w:val="0"/>
        </w:rPr>
        <w:t xml:space="preserve">щими документами. При закупках, предметом которых является единичная стоимость видов работ, или при закупках на поставку ТМЦ Организатор учитывает единичную стоимость, заявленную Участником до переторжки, или стоимости, указанные в спецификации на поставку</w:t>
      </w:r>
      <w:r>
        <w:rPr>
          <w:rFonts w:ascii="Times New Roman" w:hAnsi="Times New Roman" w:cs="Times New Roman"/>
          <w:b w:val="0"/>
        </w:rPr>
        <w:t xml:space="preserve"> ТМЦ до переторжки.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915"/>
        <w:ind w:left="0"/>
        <w:keepNext w:val="0"/>
        <w:spacing w:before="0" w:after="0"/>
        <w:widowControl w:val="off"/>
        <w:tabs>
          <w:tab w:val="clear" w:pos="312" w:leader="none"/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Изменение цены в сторону снижения не должно повлечь за собой изменение иных условий заявки участника, </w:t>
      </w:r>
      <w:r>
        <w:rPr>
          <w:rFonts w:ascii="Times New Roman" w:hAnsi="Times New Roman" w:cs="Times New Roman"/>
          <w:b w:val="0"/>
        </w:rPr>
        <w:t xml:space="preserve">кроме</w:t>
      </w:r>
      <w:r>
        <w:rPr>
          <w:rFonts w:ascii="Times New Roman" w:hAnsi="Times New Roman" w:cs="Times New Roman"/>
          <w:b w:val="0"/>
        </w:rPr>
        <w:t xml:space="preserve"> ценового.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3"/>
          <w:numId w:val="29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Процедура переторжки проводится с использованием ЭТП, указанной в Извещении о закупке. Порядок проведения процедуры п</w:t>
      </w:r>
      <w:r>
        <w:rPr>
          <w:rFonts w:ascii="Times New Roman" w:hAnsi="Times New Roman" w:cs="Times New Roman"/>
          <w:b w:val="0"/>
        </w:rPr>
        <w:t xml:space="preserve">ереторжки на ЭТП определяется правилами данной системы. Участники извещаются о переторжке путем уведомления посредством функционала ЭТП.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spacing w:after="0"/>
        <w:widowControl w:val="off"/>
        <w:tabs>
          <w:tab w:val="left" w:pos="851" w:leader="none"/>
          <w:tab w:val="left" w:pos="1134" w:leader="none"/>
        </w:tabs>
      </w:pPr>
      <w:r>
        <w:t xml:space="preserve">Снижение цены Заявки может производиться Участником неограниченное количество раз до момента окончания переторжки не м</w:t>
      </w:r>
      <w:r>
        <w:t xml:space="preserve">енее</w:t>
      </w:r>
      <w:r>
        <w:t xml:space="preserve">,</w:t>
      </w:r>
      <w:r>
        <w:t xml:space="preserve"> чем на величину шага, указанного в п. 21 Извещения. Изменение цены Заявки не должно повлечь за собой изменение иных условий Заявки, за исключением документов, обосновывающих определение цены. Прием предложений по снижению цен Заявок прекращается на Э</w:t>
      </w:r>
      <w:r>
        <w:t xml:space="preserve">ТП в момент окончания переторжки, при этом:</w:t>
      </w:r>
      <w:r/>
    </w:p>
    <w:p>
      <w:pPr>
        <w:spacing w:after="0"/>
        <w:widowControl w:val="off"/>
        <w:tabs>
          <w:tab w:val="left" w:pos="851" w:leader="none"/>
          <w:tab w:val="left" w:pos="1134" w:leader="none"/>
        </w:tabs>
      </w:pPr>
      <w:r>
        <w:t xml:space="preserve">- если в последние 10 минут до момента окончания срока подачи предложений поступит предложение от одного из Участников, то срок окончания подачи предложений в рамках данного Запроса предложений будет автоматическ</w:t>
      </w:r>
      <w:r>
        <w:t xml:space="preserve">и продлён еще на 10 минут с момента поступления последнего предложения.</w:t>
      </w:r>
      <w:r/>
    </w:p>
    <w:p>
      <w:pPr>
        <w:pStyle w:val="915"/>
        <w:ind w:left="0"/>
        <w:keepNext w:val="0"/>
        <w:spacing w:before="0" w:after="0"/>
        <w:widowControl w:val="off"/>
        <w:tabs>
          <w:tab w:val="clear" w:pos="312" w:leader="none"/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- </w:t>
      </w:r>
      <w:r>
        <w:rPr>
          <w:rFonts w:ascii="Times New Roman" w:hAnsi="Times New Roman" w:cs="Times New Roman"/>
          <w:b w:val="0"/>
          <w:bCs w:val="0"/>
        </w:rPr>
        <w:t xml:space="preserve">с</w:t>
      </w:r>
      <w:r>
        <w:rPr>
          <w:rFonts w:ascii="Times New Roman" w:hAnsi="Times New Roman" w:cs="Times New Roman"/>
          <w:b w:val="0"/>
          <w:bCs w:val="0"/>
        </w:rPr>
        <w:t xml:space="preserve">рок подачи предложений не будет продлеваться, если в течение последних 10 минут не поступит ни одного нового предложения от Участников.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ind w:left="0"/>
        <w:keepNext w:val="0"/>
        <w:spacing w:before="0" w:after="0"/>
        <w:widowControl w:val="off"/>
        <w:tabs>
          <w:tab w:val="clear" w:pos="312" w:leader="none"/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Дата и время проведения процедуры переторж</w:t>
      </w:r>
      <w:r>
        <w:rPr>
          <w:rFonts w:ascii="Times New Roman" w:hAnsi="Times New Roman" w:cs="Times New Roman"/>
          <w:b w:val="0"/>
          <w:bCs w:val="0"/>
        </w:rPr>
        <w:t xml:space="preserve">ки, а также дата и время проведения повторных процедур переторжек указывается на сайте ЭТП, информация о чем, доводится до сведения </w:t>
      </w:r>
      <w:r>
        <w:rPr>
          <w:rFonts w:ascii="Times New Roman" w:hAnsi="Times New Roman" w:cs="Times New Roman"/>
          <w:b w:val="0"/>
          <w:bCs w:val="0"/>
        </w:rPr>
        <w:t xml:space="preserve">участников закупки средствами ЭТП, а также в протоколе закупочной комиссии. Время проведения процедуры переторжки не может с</w:t>
      </w:r>
      <w:r>
        <w:rPr>
          <w:rFonts w:ascii="Times New Roman" w:hAnsi="Times New Roman" w:cs="Times New Roman"/>
          <w:b w:val="0"/>
          <w:bCs w:val="0"/>
        </w:rPr>
        <w:t xml:space="preserve">оставлять менее одних суток. 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3"/>
          <w:numId w:val="29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>
        <w:t xml:space="preserve">а) после поступления от Инициатора закупки письменн</w:t>
      </w:r>
      <w:r>
        <w:t xml:space="preserve">ого обращения к Организатору закупки  о проведении повторной процедуры переторжки;</w:t>
      </w:r>
      <w:r/>
    </w:p>
    <w:p>
      <w:pPr>
        <w:spacing w:after="0"/>
        <w:widowControl w:val="off"/>
      </w:pPr>
      <w:r>
        <w:t xml:space="preserve">б) после направления запроса любым допущенным участником к процедуре переторжки средствами ЭТП о проведении повторной процедуры переторжки;</w:t>
      </w:r>
      <w:r/>
    </w:p>
    <w:p>
      <w:pPr>
        <w:spacing w:after="0"/>
        <w:widowControl w:val="off"/>
      </w:pPr>
      <w:r>
        <w:t xml:space="preserve">в) после направления запроса, офо</w:t>
      </w:r>
      <w:r>
        <w:t xml:space="preserve">рмленного на фирменном бланке, любым допущенным участником к процедуре переторжки на электронную почту контактного лица и / или секретаря закупочной комиссии, указанную в п.4 Извещения о проведении закупки о проведении повторной процедуры переторжки.</w:t>
      </w:r>
      <w:r/>
    </w:p>
    <w:p>
      <w:pPr>
        <w:pStyle w:val="915"/>
        <w:numPr>
          <w:ilvl w:val="3"/>
          <w:numId w:val="29"/>
        </w:numPr>
        <w:ind w:left="0" w:firstLine="0"/>
        <w:keepNext w:val="0"/>
        <w:spacing w:before="0" w:after="0"/>
        <w:widowControl w:val="off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Обращ</w:t>
      </w:r>
      <w:r>
        <w:rPr>
          <w:rFonts w:ascii="Times New Roman" w:hAnsi="Times New Roman" w:cs="Times New Roman"/>
          <w:b w:val="0"/>
          <w:bCs w:val="0"/>
        </w:rPr>
        <w:t xml:space="preserve">ения, направленные в адрес Организатора иным способом, не указанным в п. 2.12.9, а также оформленные с нарушением установленного порядка, не подлежат рассмотрению.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914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48" w:name="_Toc474769978"/>
      <w:r/>
      <w:bookmarkStart w:id="49" w:name="_Toc477787563"/>
      <w:r/>
      <w:bookmarkStart w:id="50" w:name="_Toc189054401"/>
      <w:r>
        <w:rPr>
          <w:sz w:val="24"/>
          <w:szCs w:val="24"/>
        </w:rPr>
        <w:t xml:space="preserve">Установление обеспечения исполнения обязательств по договору, в случае предложения победите</w:t>
      </w:r>
      <w:r>
        <w:rPr>
          <w:sz w:val="24"/>
          <w:szCs w:val="24"/>
        </w:rPr>
        <w:t xml:space="preserve">лем закупки (либо единственным участником, признанным соответствующим требованиям документации о закупке) аномально низкой цены относительно</w:t>
      </w:r>
      <w:bookmarkEnd w:id="48"/>
      <w:r/>
      <w:bookmarkEnd w:id="49"/>
      <w:r>
        <w:rPr>
          <w:sz w:val="24"/>
          <w:szCs w:val="24"/>
        </w:rPr>
        <w:t xml:space="preserve"> НМЦ.</w:t>
      </w:r>
      <w:bookmarkEnd w:id="50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[ДАННЫЙ ПУНКТ МОЖЕТ БЫТЬ ИЗМЕНЕН ПРИ ВНЕСЕНИИ ИЗМЕНЕНИЙ В ЛНА ОБЩЕСТВА, РЕГУЛИРУЮЩИЕ ПОРЯДОК ПРЕДОСТАВЛЕНИЯ О</w:t>
      </w:r>
      <w:r>
        <w:rPr>
          <w:b/>
        </w:rPr>
        <w:t xml:space="preserve">БЕСПЕЧЕНИЯ, СВЯЗАННОГО С ДЕМПИНГОМ]. </w:t>
      </w:r>
      <w:r>
        <w:rPr>
          <w:b/>
        </w:rPr>
      </w:r>
      <w:r>
        <w:rPr>
          <w:b/>
        </w:rPr>
      </w:r>
    </w:p>
    <w:p>
      <w:pPr>
        <w:pStyle w:val="1262"/>
        <w:numPr>
          <w:ilvl w:val="0"/>
          <w:numId w:val="30"/>
        </w:numPr>
        <w:ind w:left="0" w:firstLine="0"/>
        <w:widowControl w:val="off"/>
        <w:tabs>
          <w:tab w:val="left" w:pos="1276" w:leader="none"/>
        </w:tabs>
        <w:rPr>
          <w:szCs w:val="24"/>
        </w:rPr>
      </w:pPr>
      <w:r>
        <w:rPr>
          <w:szCs w:val="24"/>
        </w:rPr>
        <w:t xml:space="preserve">Под аномально низкой ценой (демпингом) понимается снижение цены победителем закупки (либо единственным участником, признанным соответствующим требованиям документации о закупке) относительно НМЦ</w:t>
      </w:r>
      <w:r>
        <w:rPr>
          <w:szCs w:val="24"/>
        </w:rPr>
        <w:t xml:space="preserve">, указанной Заказчиком в извещении о проведении запроса предложений, на </w:t>
      </w:r>
      <w:r>
        <w:rPr>
          <w:szCs w:val="24"/>
          <w:u w:val="single"/>
        </w:rPr>
        <w:t xml:space="preserve">25 (двадцать пять) </w:t>
      </w:r>
      <w:r>
        <w:rPr>
          <w:szCs w:val="24"/>
        </w:rPr>
        <w:t xml:space="preserve">и более процентов. При расчете процента снижения для установления факта аномально низкой цены (демпинга) округление производится до целого числа по математическим пр</w:t>
      </w:r>
      <w:r>
        <w:rPr>
          <w:szCs w:val="24"/>
        </w:rPr>
        <w:t xml:space="preserve">авилам с учетом двух знаков после запятой.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30"/>
        </w:numPr>
        <w:ind w:left="0" w:firstLine="0"/>
        <w:widowControl w:val="off"/>
        <w:tabs>
          <w:tab w:val="left" w:pos="1276" w:leader="none"/>
        </w:tabs>
        <w:rPr>
          <w:szCs w:val="24"/>
        </w:rPr>
      </w:pPr>
      <w:r>
        <w:rPr>
          <w:szCs w:val="24"/>
        </w:rPr>
        <w:t xml:space="preserve">В случае если при проведении закупки победителем (либо единственным участником, признанным соответствующим требованиям документации о закупке) признается участник, предложивший аномально низкое ценовое предложение</w:t>
      </w:r>
      <w:r>
        <w:rPr>
          <w:szCs w:val="24"/>
        </w:rPr>
        <w:t xml:space="preserve">, таким участником предоставляется обеспечение исполнения договора в следующем размере:</w:t>
      </w:r>
      <w:r>
        <w:rPr>
          <w:szCs w:val="24"/>
        </w:rPr>
      </w:r>
      <w:r>
        <w:rPr>
          <w:szCs w:val="24"/>
        </w:rPr>
      </w:r>
    </w:p>
    <w:tbl>
      <w:tblPr>
        <w:tblStyle w:val="1239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3"/>
        <w:gridCol w:w="1684"/>
        <w:gridCol w:w="1701"/>
        <w:gridCol w:w="1701"/>
        <w:gridCol w:w="4536"/>
      </w:tblGrid>
      <w:tr>
        <w:trPr/>
        <w:tc>
          <w:tcPr>
            <w:tcW w:w="44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tcW w:w="5086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Матрица договорных условий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536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43" w:type="dxa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68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по обеспечен</w:t>
            </w:r>
            <w:r>
              <w:rPr>
                <w:sz w:val="22"/>
                <w:szCs w:val="22"/>
              </w:rPr>
              <w:t xml:space="preserve">ию исполнения договора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Авансирование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на возврат авансового платежа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rPr/>
        <w:tc>
          <w:tcPr>
            <w:tcW w:w="44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8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10% (десять) от НМЦ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shd w:val="clear" w:color="auto" w:fill="auto"/>
            <w:tcW w:w="44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68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</w:t>
            </w:r>
            <w:r>
              <w:rPr>
                <w:sz w:val="22"/>
                <w:szCs w:val="22"/>
              </w:rPr>
              <w:t xml:space="preserve"> от первоначально установленного обеспечения исполнения договора в 1,5 (полтора) раза, но не менее 10% (десяти) от НМЦ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shd w:val="clear" w:color="auto" w:fill="auto"/>
            <w:tcW w:w="44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68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10% (десяти) от </w:t>
            </w:r>
            <w:r>
              <w:rPr>
                <w:sz w:val="22"/>
                <w:szCs w:val="22"/>
              </w:rPr>
              <w:t xml:space="preserve">НМЦ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shd w:val="clear" w:color="auto" w:fill="auto"/>
            <w:tcW w:w="44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68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10% (десяти) от НМЦ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shd w:val="clear" w:color="auto" w:fill="auto"/>
            <w:tcW w:w="44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68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70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4536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</w:t>
            </w:r>
            <w:r>
              <w:rPr>
                <w:sz w:val="22"/>
                <w:szCs w:val="22"/>
              </w:rPr>
              <w:t xml:space="preserve">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443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68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536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обеспечение исполнения </w:t>
            </w:r>
            <w:r>
              <w:rPr>
                <w:sz w:val="22"/>
                <w:szCs w:val="22"/>
              </w:rPr>
              <w:t xml:space="preserve">договора в 1,5 (пол</w:t>
            </w:r>
            <w:r>
              <w:rPr>
                <w:sz w:val="22"/>
                <w:szCs w:val="22"/>
              </w:rPr>
              <w:t xml:space="preserve">тора) раза, но не менее 10% (десяти) от НМЦ, и обеспечение возврата авансовых платежей в размере, установленном в документации о закупке (извещении о закупке)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262"/>
        <w:ind w:firstLine="0"/>
        <w:widowControl w:val="off"/>
        <w:tabs>
          <w:tab w:val="left" w:pos="127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30"/>
        </w:numPr>
        <w:ind w:left="0" w:firstLine="0"/>
        <w:widowControl w:val="off"/>
        <w:tabs>
          <w:tab w:val="left" w:pos="851" w:leader="none"/>
        </w:tabs>
        <w:rPr>
          <w:szCs w:val="24"/>
        </w:rPr>
      </w:pPr>
      <w:r>
        <w:rPr>
          <w:bCs w:val="0"/>
          <w:szCs w:val="24"/>
        </w:rPr>
        <w:t xml:space="preserve">Размер финансового обеспечения обязательств по договору указывается в протоколе закупочного органа Общества с учетом требований п. 2.13.2. настоящей Документации. Требования к порядку, форме и срокам предоставления финансового обеспечения обязательств по д</w:t>
      </w:r>
      <w:r>
        <w:rPr>
          <w:bCs w:val="0"/>
          <w:szCs w:val="24"/>
        </w:rPr>
        <w:t xml:space="preserve">оговору в случае предложения </w:t>
      </w:r>
      <w:r>
        <w:rPr>
          <w:szCs w:val="24"/>
        </w:rPr>
        <w:t xml:space="preserve">победителем (либо единственным участником, признанным соответствующим требованиям документации о закупке) аномально низкой цены договора</w:t>
      </w:r>
      <w:r>
        <w:rPr>
          <w:bCs w:val="0"/>
          <w:szCs w:val="24"/>
        </w:rPr>
        <w:t xml:space="preserve">, а также требования к гарантам, указаны в </w:t>
      </w:r>
      <w:r>
        <w:rPr>
          <w:color w:val="000000" w:themeColor="text1"/>
          <w:szCs w:val="24"/>
        </w:rPr>
        <w:t xml:space="preserve">Приложении №2 «Проект договора» к настоящей Доку</w:t>
      </w:r>
      <w:r>
        <w:rPr>
          <w:color w:val="000000" w:themeColor="text1"/>
          <w:szCs w:val="24"/>
        </w:rPr>
        <w:t xml:space="preserve">ментации</w:t>
      </w:r>
      <w:r>
        <w:rPr>
          <w:bCs w:val="0"/>
          <w:szCs w:val="24"/>
        </w:rPr>
        <w:t xml:space="preserve">. </w:t>
      </w:r>
      <w:r>
        <w:rPr>
          <w:szCs w:val="24"/>
        </w:rPr>
      </w:r>
      <w:r>
        <w:rPr>
          <w:szCs w:val="24"/>
        </w:rPr>
      </w:r>
    </w:p>
    <w:p>
      <w:pPr>
        <w:pStyle w:val="1262"/>
        <w:ind w:firstLine="0"/>
        <w:widowControl w:val="off"/>
        <w:tabs>
          <w:tab w:val="left" w:pos="127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914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1" w:name="_Toc189054402"/>
      <w:r>
        <w:rPr>
          <w:sz w:val="24"/>
          <w:szCs w:val="24"/>
        </w:rPr>
        <w:t xml:space="preserve">Сопоставление заявок участников и подведение итогов.</w:t>
      </w:r>
      <w:bookmarkEnd w:id="5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2"/>
          <w:numId w:val="31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После рассмотрения и оценки полученных Заявок и проведения процедуры переторжки (в случае если она проводилась) Комиссия подводит итоги по закупке путем определения победителя или признания з</w:t>
      </w:r>
      <w:r>
        <w:t xml:space="preserve">акупки несостоявшейся.</w:t>
      </w:r>
      <w:r/>
    </w:p>
    <w:p>
      <w:pPr>
        <w:pStyle w:val="915"/>
        <w:numPr>
          <w:ilvl w:val="2"/>
          <w:numId w:val="31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закупки осуществляются Комиссией в сроки, установленные в Извещении о проведении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915"/>
        <w:numPr>
          <w:ilvl w:val="2"/>
          <w:numId w:val="31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участник, заявка на </w:t>
      </w:r>
      <w:r>
        <w:rPr>
          <w:rFonts w:ascii="Times New Roman" w:hAnsi="Times New Roman" w:cs="Times New Roman"/>
          <w:b w:val="0"/>
          <w:bCs w:val="0"/>
        </w:rPr>
        <w:t xml:space="preserve">участие</w:t>
      </w:r>
      <w:r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</w:t>
      </w:r>
      <w:r>
        <w:rPr>
          <w:rFonts w:ascii="Times New Roman" w:hAnsi="Times New Roman" w:cs="Times New Roman"/>
          <w:b w:val="0"/>
          <w:bCs w:val="0"/>
        </w:rPr>
        <w:t xml:space="preserve">окументацией о закупке,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(т.е. заявка на участие в закупке оценена наибольшим количество</w:t>
      </w:r>
      <w:r>
        <w:rPr>
          <w:rFonts w:ascii="Times New Roman" w:hAnsi="Times New Roman" w:cs="Times New Roman"/>
          <w:b w:val="0"/>
          <w:bCs w:val="0"/>
        </w:rPr>
        <w:t xml:space="preserve">м баллов и заявке на участие в закупке присвоен первый номер). В случае если итоговый рейтинг двух или более заявок будет одинаковым, победителем закупки признается участник, заявка которого поступила ранее других заявок.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915"/>
        <w:numPr>
          <w:ilvl w:val="2"/>
          <w:numId w:val="31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</w:t>
      </w:r>
      <w:r>
        <w:rPr>
          <w:rFonts w:ascii="Times New Roman" w:hAnsi="Times New Roman" w:cs="Times New Roman"/>
          <w:b w:val="0"/>
        </w:rPr>
        <w:t xml:space="preserve">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31"/>
        </w:numPr>
        <w:ind w:left="0" w:firstLine="0"/>
        <w:keepNext w:val="0"/>
        <w:spacing w:before="0" w:after="0"/>
        <w:widowControl w:val="off"/>
        <w:tabs>
          <w:tab w:val="left" w:pos="113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Закупка признается несостоявшейся в случаях: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60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а) если по окончании срока подачи заявок подана только одна Заявка или не подано ни одной Заявки;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0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б) если по результатам рассмотрения Заявок принято решение об отказе в допуске всем Участникам закупки, подавшим Заявки;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0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в) если по результатам проведения зак</w:t>
      </w:r>
      <w:r>
        <w:rPr>
          <w:sz w:val="24"/>
          <w:szCs w:val="24"/>
        </w:rPr>
        <w:t xml:space="preserve">упки отклонены все заявки за исключением одной заявки;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0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г) если по результатам закупки от заключения договора уклонились участники закупки, обязанные заключить договор в соответствии с условиями Извещения о проведении закупки;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0"/>
        <w:numPr>
          <w:ilvl w:val="0"/>
          <w:numId w:val="0"/>
        </w:numPr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2.14.6. Если при проведении За</w:t>
      </w:r>
      <w:r>
        <w:rPr>
          <w:sz w:val="24"/>
          <w:szCs w:val="24"/>
        </w:rPr>
        <w:t xml:space="preserve">проса предложений была предоставлена только одна Заявка,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закупки, подавшим такую Заявку при одн</w:t>
      </w:r>
      <w:r>
        <w:rPr>
          <w:sz w:val="24"/>
          <w:szCs w:val="24"/>
        </w:rPr>
        <w:t xml:space="preserve">овременном соблюдении следующих условий: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0"/>
        <w:numPr>
          <w:ilvl w:val="4"/>
          <w:numId w:val="13"/>
        </w:numPr>
        <w:ind w:left="0" w:firstLine="0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данный Участник закупки соответствует требованиям Документации о закупке, о чем принято соответствующее решение Закупочной комиссией;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0"/>
        <w:numPr>
          <w:ilvl w:val="4"/>
          <w:numId w:val="13"/>
        </w:numPr>
        <w:ind w:left="0" w:firstLine="0"/>
        <w:widowControl w:val="off"/>
        <w:tabs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заключается по цене, в объеме и на условиях, указанных таким единственны</w:t>
      </w:r>
      <w:r>
        <w:rPr>
          <w:sz w:val="24"/>
          <w:szCs w:val="24"/>
        </w:rPr>
        <w:t xml:space="preserve">м Участником закупки в его Заявке или на лучших для Заказчика условиях (в том числе достигнутых по результатам преддоговорных переговоров в случае их проведения).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0"/>
        <w:numPr>
          <w:ilvl w:val="2"/>
          <w:numId w:val="26"/>
        </w:numPr>
        <w:ind w:left="0" w:firstLine="0"/>
        <w:widowControl w:val="o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отсутствия Участников, либо принятия решения об отказе в допуске всем Участникам зак</w:t>
      </w:r>
      <w:r>
        <w:rPr>
          <w:sz w:val="24"/>
          <w:szCs w:val="24"/>
        </w:rPr>
        <w:t xml:space="preserve">упки, Комиссия вправе назначить повторную процедуру Запроса предложений либо провести закупку иным способом, предусмотренным Положением о закупке Общества на основании письменного обращения Инициатора закупки в адрес Организатора закупки.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ind w:left="0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4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2" w:name="_Toc189054403"/>
      <w:r>
        <w:rPr>
          <w:sz w:val="24"/>
          <w:szCs w:val="24"/>
        </w:rPr>
        <w:t xml:space="preserve">Проведение предд</w:t>
      </w:r>
      <w:r>
        <w:rPr>
          <w:sz w:val="24"/>
          <w:szCs w:val="24"/>
        </w:rPr>
        <w:t xml:space="preserve">оговорных переговоров.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numPr>
          <w:ilvl w:val="2"/>
          <w:numId w:val="32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подведения итогов закупки Заказчик вправе провести преддоговорные переговоры </w:t>
      </w:r>
      <w:r>
        <w:rPr>
          <w:rFonts w:ascii="Times New Roman" w:hAnsi="Times New Roman" w:cs="Times New Roman"/>
          <w:b w:val="0"/>
          <w:bCs w:val="0"/>
        </w:rPr>
        <w:t xml:space="preserve">с участником, признанным победителем / единственным участником закупки, с которым планируется заключить договор.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32"/>
        </w:numPr>
        <w:ind w:left="0" w:firstLine="0"/>
        <w:keepNext w:val="0"/>
        <w:spacing w:before="0" w:after="0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Преддоговорные переговоры проводятся</w:t>
      </w:r>
      <w:r>
        <w:rPr>
          <w:rFonts w:ascii="Times New Roman" w:hAnsi="Times New Roman" w:cs="Times New Roman"/>
          <w:b w:val="0"/>
          <w:bCs w:val="0"/>
        </w:rPr>
        <w:t xml:space="preserve"> с целью снижения цены договора без изменения объема закупаемой продукции и иных условий исполнения договора. Результаты проведения преддоговорных переговоров оформляются соглашением / протоколом преддоговорных переговоров.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32"/>
        </w:numPr>
        <w:ind w:left="0" w:firstLine="0"/>
        <w:keepNext w:val="0"/>
        <w:spacing w:before="0" w:after="0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преддоговорных переговоров не должно давать преимущественных условий победителю / единственному участнику закупки, с которым планируется заключить договор. Результаты проведения преддоговорных переговоров оформляются соглашением о проведении пре</w:t>
      </w:r>
      <w:r>
        <w:rPr>
          <w:rFonts w:ascii="Times New Roman" w:hAnsi="Times New Roman" w:cs="Times New Roman"/>
          <w:b w:val="0"/>
          <w:bCs w:val="0"/>
        </w:rPr>
        <w:t xml:space="preserve">ддоговорных переговоров.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914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3" w:name="_Toc189054404"/>
      <w:r>
        <w:rPr>
          <w:sz w:val="24"/>
          <w:szCs w:val="24"/>
        </w:rPr>
        <w:t xml:space="preserve">Заключение договора.</w:t>
      </w:r>
      <w:bookmarkEnd w:id="5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2"/>
          <w:numId w:val="33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Договор по результатам Закупки между Заказчиком и Победителем / единственным участником закупки, с которым планируется заключить договор, заключается в срок не ранее чем через десять дней и не позднее чем чере</w:t>
      </w:r>
      <w:r>
        <w:rPr>
          <w:bCs/>
        </w:rPr>
        <w:t xml:space="preserve">з двадцать дней </w:t>
      </w:r>
      <w:r>
        <w:rPr>
          <w:bCs/>
        </w:rPr>
        <w:t xml:space="preserve">с даты размещения</w:t>
      </w:r>
      <w:r>
        <w:rPr>
          <w:bCs/>
        </w:rPr>
        <w:t xml:space="preserve"> итогового протокола в Единой информационной системе. Договор может быть заключен как в электронной форме с использованием системы электронного документооборота с применением усиленной квалифицированной электронной подписи,</w:t>
      </w:r>
      <w:r>
        <w:rPr>
          <w:bCs/>
        </w:rPr>
        <w:t xml:space="preserve"> так и на бумажном носителе</w:t>
      </w:r>
      <w:r>
        <w:rPr>
          <w:rStyle w:val="1120"/>
          <w:bCs/>
        </w:rPr>
        <w:footnoteReference w:id="3"/>
      </w:r>
      <w:r>
        <w:rPr>
          <w:bCs/>
        </w:rPr>
        <w:t xml:space="preserve">,</w:t>
      </w:r>
      <w:r>
        <w:rPr>
          <w:bCs/>
        </w:rPr>
      </w:r>
      <w:r>
        <w:rPr>
          <w:bCs/>
        </w:rPr>
      </w:r>
    </w:p>
    <w:p>
      <w:pPr>
        <w:pStyle w:val="1233"/>
        <w:numPr>
          <w:ilvl w:val="2"/>
          <w:numId w:val="33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</w:t>
      </w:r>
      <w:r>
        <w:t xml:space="preserve">ссии по осуществлению конкурентной закупки,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</w:t>
      </w:r>
      <w:r>
        <w:t xml:space="preserve">йствия) Заказчика</w:t>
      </w:r>
      <w:r>
        <w:t xml:space="preserve">, комиссии по осуществлению конкурентной закупки, оператора электронной площадки.</w:t>
      </w:r>
      <w:r>
        <w:rPr>
          <w:bCs/>
        </w:rPr>
      </w:r>
      <w:r>
        <w:rPr>
          <w:bCs/>
        </w:rPr>
      </w:r>
    </w:p>
    <w:p>
      <w:pPr>
        <w:pStyle w:val="1233"/>
        <w:numPr>
          <w:ilvl w:val="2"/>
          <w:numId w:val="33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побе</w:t>
      </w:r>
      <w:r>
        <w:t xml:space="preserve">дителя / </w:t>
      </w:r>
      <w:r>
        <w:rPr>
          <w:bCs/>
        </w:rPr>
        <w:t xml:space="preserve">единственного участника закупки, с которым планируется заключить договор</w:t>
      </w:r>
      <w:r>
        <w:t xml:space="preserve">. По результатам Закупки с участником может быть заключено также несколько договоров.</w:t>
      </w:r>
      <w:r>
        <w:rPr>
          <w:color w:val="ff0000"/>
        </w:rPr>
        <w:t xml:space="preserve"> </w:t>
      </w:r>
      <w:r>
        <w:t xml:space="preserve">Страна происхождения поставляемого товара указывается в договоре на основании сведений, с</w:t>
      </w:r>
      <w:r>
        <w:t xml:space="preserve">одержащихся в заявке на участие в закупке, представленной участником закупки, с которым заключается договор.</w:t>
      </w:r>
      <w:r>
        <w:rPr>
          <w:bCs/>
        </w:rPr>
      </w:r>
      <w:r>
        <w:rPr>
          <w:bCs/>
        </w:rPr>
      </w:r>
    </w:p>
    <w:p>
      <w:pPr>
        <w:pStyle w:val="1233"/>
        <w:numPr>
          <w:ilvl w:val="2"/>
          <w:numId w:val="33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</w:pPr>
      <w:r>
        <w:t xml:space="preserve">Победителю / единственному участнику закупки, с которым планируется заключить договор, до заключения договора необходимо </w:t>
      </w:r>
      <w:r>
        <w:t xml:space="preserve">предоставить следующие док</w:t>
      </w:r>
      <w:r>
        <w:t xml:space="preserve">ументы</w:t>
      </w:r>
      <w:r>
        <w:t xml:space="preserve">:</w:t>
      </w:r>
      <w:r/>
    </w:p>
    <w:p>
      <w:pPr>
        <w:pStyle w:val="1233"/>
        <w:ind w:left="0"/>
        <w:jc w:val="both"/>
        <w:widowControl w:val="off"/>
        <w:tabs>
          <w:tab w:val="left" w:pos="993" w:leader="none"/>
          <w:tab w:val="left" w:pos="1276" w:leader="none"/>
        </w:tabs>
      </w:pPr>
      <w:r>
        <w:t xml:space="preserve">- уведомление о применяемом специальном режиме налогообложения (данный документ предоставляется в случае указания в оферте о применении специального налогового режима).</w:t>
      </w:r>
      <w:r/>
    </w:p>
    <w:p>
      <w:pPr>
        <w:pStyle w:val="1233"/>
        <w:numPr>
          <w:ilvl w:val="2"/>
          <w:numId w:val="33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t xml:space="preserve">Заказчиком может быть предусмотрена возможность заключения договора по результа</w:t>
      </w:r>
      <w:r>
        <w:t xml:space="preserve">там закупки с несколькими участниками, признанными победителями закупки. Информация об установлении такой возможности указывается в Извещении о закупке. Порядок выбора нескольких победителей закупки устанавливается в Приложении №1 «Техническое задание».</w:t>
      </w:r>
      <w:r>
        <w:rPr>
          <w:bCs/>
        </w:rPr>
      </w:r>
      <w:r>
        <w:rPr>
          <w:bCs/>
        </w:rPr>
      </w:r>
    </w:p>
    <w:p>
      <w:pPr>
        <w:pStyle w:val="1233"/>
        <w:numPr>
          <w:ilvl w:val="2"/>
          <w:numId w:val="33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Ко</w:t>
      </w:r>
      <w:r>
        <w:rPr>
          <w:bCs/>
        </w:rPr>
        <w:t xml:space="preserve">миссия отклоняет участника Закупки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Комиссия обнаруж</w:t>
      </w:r>
      <w:r>
        <w:rPr>
          <w:bCs/>
        </w:rPr>
        <w:t xml:space="preserve">ит, что участник Закупки не соответствует требованиям, установленным в Документации о закупке, или предоставил недостоверную информацию (сведения) в отношении своего соответствия указанным требованиям, а также в случае </w:t>
      </w:r>
      <w:r>
        <w:rPr>
          <w:bCs/>
        </w:rPr>
        <w:t xml:space="preserve">непредоставления</w:t>
      </w:r>
      <w:r>
        <w:rPr>
          <w:bCs/>
        </w:rPr>
        <w:t xml:space="preserve"> </w:t>
      </w:r>
      <w:r>
        <w:rPr>
          <w:bCs/>
        </w:rPr>
        <w:t xml:space="preserve">одного из документов</w:t>
      </w:r>
      <w:r>
        <w:rPr>
          <w:bCs/>
        </w:rPr>
        <w:t xml:space="preserve">, указанных в п. 2.16.4.</w:t>
      </w:r>
      <w:r>
        <w:rPr>
          <w:bCs/>
        </w:rPr>
      </w:r>
      <w:r>
        <w:rPr>
          <w:bCs/>
        </w:rPr>
      </w:r>
    </w:p>
    <w:p>
      <w:pPr>
        <w:pStyle w:val="1233"/>
        <w:numPr>
          <w:ilvl w:val="2"/>
          <w:numId w:val="33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Отказом или уклонением </w:t>
      </w:r>
      <w:r>
        <w:t xml:space="preserve">участника закупки, который должен заключить договор,</w:t>
      </w:r>
      <w:r>
        <w:rPr>
          <w:bCs/>
        </w:rPr>
        <w:t xml:space="preserve"> от заключения договора считаются следующие действия/бездействия: </w:t>
      </w:r>
      <w:r>
        <w:rPr>
          <w:bCs/>
        </w:rPr>
      </w:r>
      <w:r>
        <w:rPr>
          <w:bCs/>
        </w:rPr>
      </w:r>
    </w:p>
    <w:p>
      <w:pPr>
        <w:pStyle w:val="1258"/>
        <w:numPr>
          <w:ilvl w:val="4"/>
          <w:numId w:val="14"/>
        </w:numPr>
        <w:ind w:left="0" w:firstLine="0"/>
        <w:widowControl w:val="off"/>
        <w:tabs>
          <w:tab w:val="left" w:pos="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уклонение или отказ от заключения договора, в том числе путем предложения Заказчику внест</w:t>
      </w:r>
      <w:r>
        <w:rPr>
          <w:sz w:val="24"/>
          <w:szCs w:val="24"/>
        </w:rPr>
        <w:t xml:space="preserve">и изменения  в условия договора, не связанные с Заявкой Участника;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58"/>
        <w:numPr>
          <w:ilvl w:val="4"/>
          <w:numId w:val="14"/>
        </w:numPr>
        <w:ind w:left="0" w:firstLine="0"/>
        <w:widowControl w:val="off"/>
        <w:tabs>
          <w:tab w:val="left" w:pos="0" w:leader="none"/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непредоставление</w:t>
      </w:r>
      <w:r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договора.</w:t>
      </w:r>
      <w:bookmarkStart w:id="54" w:name="_Ref30213233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2"/>
          <w:numId w:val="33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При наступлении случ</w:t>
      </w:r>
      <w:r>
        <w:rPr>
          <w:bCs/>
        </w:rPr>
        <w:t xml:space="preserve">аев, определенных в п. 2.16.6, 2.16.7., Заказчик имеет право заключить договор с участником, заявке которого по результатам рассмотрения и сопоставления Заявок присвоено второе место либо рассмотреть вопрос о повторном проведении закупки. При этом срок для</w:t>
      </w:r>
      <w:r>
        <w:rPr>
          <w:bCs/>
        </w:rPr>
        <w:t xml:space="preserve"> подписания договора будет аналогичен сроку, предусмотренному в п. 2.16.1., 2.16.2. настоящей Документации.</w:t>
      </w:r>
      <w:r>
        <w:rPr>
          <w:bCs/>
        </w:rPr>
      </w:r>
      <w:r>
        <w:rPr>
          <w:bCs/>
        </w:rPr>
      </w:r>
    </w:p>
    <w:p>
      <w:pPr>
        <w:pStyle w:val="1233"/>
        <w:numPr>
          <w:ilvl w:val="2"/>
          <w:numId w:val="33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При отказе или уклонении участника от заключения договора, в случаях определенных в п. 2.16.7., Заказчик направляет сведения о таком участнике в рее</w:t>
      </w:r>
      <w:r>
        <w:rPr>
          <w:bCs/>
        </w:rPr>
        <w:t xml:space="preserve">стр недобросовестных поставщиков в порядке, предусмотренном действующим законодательством. </w:t>
      </w:r>
      <w:bookmarkEnd w:id="54"/>
      <w:r>
        <w:rPr>
          <w:bCs/>
        </w:rPr>
      </w:r>
      <w:r>
        <w:rPr>
          <w:bCs/>
        </w:rPr>
      </w:r>
    </w:p>
    <w:p>
      <w:pPr>
        <w:pStyle w:val="1233"/>
        <w:numPr>
          <w:ilvl w:val="2"/>
          <w:numId w:val="33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Заказчик направляет Победителю закупки /единственному участнику закупки, с которым планируется заключить договор, (</w:t>
      </w:r>
      <w:r>
        <w:rPr>
          <w:bCs/>
        </w:rPr>
        <w:t xml:space="preserve">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</w:t>
      </w:r>
      <w:r>
        <w:rPr>
          <w:bCs/>
        </w:rPr>
        <w:t xml:space="preserve">овленным внутренними организационно-распорядительными документами Заказчика, но не ранее чем через 10 (десять) дней с</w:t>
      </w:r>
      <w:r>
        <w:rPr>
          <w:bCs/>
        </w:rPr>
        <w:t xml:space="preserve"> даты размещения в ЕИС итогового протокола по результатам закупки. Участник подписывает проект договора в течение 3 (трех) рабочих дней и н</w:t>
      </w:r>
      <w:r>
        <w:rPr>
          <w:bCs/>
        </w:rPr>
        <w:t xml:space="preserve">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20 (двадцати) дней </w:t>
      </w:r>
      <w:r>
        <w:rPr>
          <w:bCs/>
        </w:rPr>
        <w:t xml:space="preserve">с даты размещения</w:t>
      </w:r>
      <w:r>
        <w:rPr>
          <w:bCs/>
        </w:rPr>
        <w:t xml:space="preserve"> в ЕИС итогового протокола по результатам закупки</w:t>
      </w:r>
      <w:r>
        <w:rPr>
          <w:vertAlign w:val="superscript"/>
        </w:rPr>
        <w:footnoteReference w:id="4"/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33"/>
        <w:numPr>
          <w:ilvl w:val="2"/>
          <w:numId w:val="33"/>
        </w:numPr>
        <w:ind w:left="0" w:firstLine="0"/>
        <w:jc w:val="both"/>
        <w:widowControl w:val="off"/>
        <w:tabs>
          <w:tab w:val="left" w:pos="993" w:leader="none"/>
          <w:tab w:val="left" w:pos="1276" w:leader="none"/>
        </w:tabs>
        <w:rPr>
          <w:bCs/>
        </w:rPr>
      </w:pPr>
      <w:r>
        <w:rPr>
          <w:bCs/>
        </w:rPr>
        <w:t xml:space="preserve">В случае нали</w:t>
      </w:r>
      <w:r>
        <w:rPr>
          <w:bCs/>
        </w:rPr>
        <w:t xml:space="preserve">чия разногласий по проекту договора, направленному Заказчиком, Победитель закупки / единственный участник закупки, с которым планируется заключить договор, составляет протокол разногласий с указанием замечаний к положениям проекта договора, не соответствую</w:t>
      </w:r>
      <w:r>
        <w:rPr>
          <w:bCs/>
        </w:rPr>
        <w:t xml:space="preserve">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</w:t>
      </w:r>
      <w:r>
        <w:rPr>
          <w:bCs/>
        </w:rPr>
        <w:t xml:space="preserve">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</w:t>
      </w:r>
      <w:r>
        <w:rPr>
          <w:bCs/>
        </w:rPr>
        <w:t xml:space="preserve"> отказа учесть полностью или частично содержащиеся в протоколе разногласий замечания. Участник подписывает проект договора в срок не более 3 (трех) рабочих дней и направляет его Заказчику. Заказчик после получения проекта договора, подписанного участником </w:t>
      </w:r>
      <w:r>
        <w:rPr>
          <w:bCs/>
        </w:rPr>
        <w:t xml:space="preserve">обеспечивает подписание такого договора в срок, не превышающий 10 (десяти) дней с момента </w:t>
      </w:r>
      <w:r>
        <w:rPr>
          <w:bCs/>
        </w:rPr>
        <w:t xml:space="preserve">с даты размещения</w:t>
      </w:r>
      <w:r>
        <w:rPr>
          <w:bCs/>
        </w:rPr>
        <w:t xml:space="preserve"> в ЕИС итогового протокола по результатам закупки</w:t>
      </w:r>
      <w:r>
        <w:rPr>
          <w:vertAlign w:val="superscript"/>
        </w:rPr>
        <w:footnoteReference w:id="5"/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pStyle w:val="914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5" w:name="_Toc189054405"/>
      <w:r/>
      <w:bookmarkStart w:id="56" w:name="_Toc193918"/>
      <w:r/>
      <w:bookmarkStart w:id="57" w:name="_Toc509318711"/>
      <w:r>
        <w:rPr>
          <w:sz w:val="24"/>
          <w:szCs w:val="24"/>
        </w:rPr>
        <w:t xml:space="preserve">Обеспечение исполнения обязательств по Договору победителем (единственным соответствующим участ</w:t>
      </w:r>
      <w:r>
        <w:rPr>
          <w:sz w:val="24"/>
          <w:szCs w:val="24"/>
        </w:rPr>
        <w:t xml:space="preserve">ником)</w:t>
      </w:r>
      <w:bookmarkEnd w:id="55"/>
      <w:r>
        <w:rPr>
          <w:sz w:val="24"/>
          <w:szCs w:val="24"/>
        </w:rPr>
        <w:t xml:space="preserve"> 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2"/>
          <w:numId w:val="34"/>
        </w:numPr>
        <w:ind w:left="0" w:firstLine="0"/>
        <w:jc w:val="both"/>
        <w:widowControl w:val="off"/>
        <w:tabs>
          <w:tab w:val="left" w:pos="1134" w:leader="none"/>
        </w:tabs>
        <w:rPr>
          <w:bCs/>
        </w:rPr>
      </w:pPr>
      <w:r>
        <w:t xml:space="preserve">В случае</w:t>
      </w:r>
      <w:r>
        <w:t xml:space="preserve">,</w:t>
      </w:r>
      <w:r>
        <w:t xml:space="preserve"> если в Приложении № 5 «Условия выбора финансового обеспечения»  к Документации установлена необходимость предоставления Победителем (единственным соответствующим участником закупки) обязательств по Договору, до </w:t>
      </w:r>
      <w:r>
        <w:rPr>
          <w:bCs/>
          <w:color w:val="000000"/>
        </w:rPr>
        <w:t xml:space="preserve">подписания Договора Победит</w:t>
      </w:r>
      <w:r>
        <w:rPr>
          <w:bCs/>
          <w:color w:val="000000"/>
        </w:rPr>
        <w:t xml:space="preserve">ель Запроса предложений (единственный соответствующий участник) должен предоставить финансовое обеспечение исполнения обязательств по договору в соответствии с порядком и сроками, предусмотренными </w:t>
      </w:r>
      <w:r>
        <w:rPr>
          <w:color w:val="000000" w:themeColor="text1"/>
        </w:rPr>
        <w:t xml:space="preserve">Приложением № 2 «Проект договора» к настоящей Документации</w:t>
      </w:r>
      <w:r>
        <w:rPr>
          <w:bCs/>
          <w:color w:val="000000"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233"/>
        <w:numPr>
          <w:ilvl w:val="2"/>
          <w:numId w:val="34"/>
        </w:numPr>
        <w:ind w:left="0" w:firstLine="0"/>
        <w:jc w:val="both"/>
        <w:widowControl w:val="off"/>
        <w:tabs>
          <w:tab w:val="left" w:pos="1134" w:leader="none"/>
        </w:tabs>
      </w:pPr>
      <w:r>
        <w:t xml:space="preserve">Непредоставление</w:t>
      </w:r>
      <w:r>
        <w:t xml:space="preserve"> Участником Запроса предложений финансового обеспечения по Договору или его предоставление с нарушением установленных требований и условий, является основанием для удержания </w:t>
      </w:r>
      <w:r>
        <w:t xml:space="preserve">обеспечения исполнения обязательств Участника Запроса предложений</w:t>
      </w:r>
      <w:r>
        <w:t xml:space="preserve">. </w:t>
      </w:r>
      <w:r/>
    </w:p>
    <w:p>
      <w:pPr>
        <w:spacing w:after="0"/>
        <w:widowControl w:val="off"/>
        <w:tabs>
          <w:tab w:val="left" w:pos="1134" w:leader="none"/>
        </w:tabs>
      </w:pPr>
      <w:r/>
      <w:r/>
    </w:p>
    <w:p>
      <w:pPr>
        <w:pStyle w:val="914"/>
        <w:numPr>
          <w:ilvl w:val="1"/>
          <w:numId w:val="21"/>
        </w:numPr>
        <w:ind w:left="0" w:firstLine="0"/>
        <w:jc w:val="both"/>
        <w:keepNext w:val="0"/>
        <w:spacing w:after="0"/>
        <w:widowControl w:val="off"/>
        <w:tabs>
          <w:tab w:val="left" w:pos="284" w:leader="none"/>
          <w:tab w:val="left" w:pos="993" w:leader="none"/>
          <w:tab w:val="left" w:pos="1134" w:leader="none"/>
        </w:tabs>
        <w:rPr>
          <w:sz w:val="24"/>
          <w:szCs w:val="24"/>
        </w:rPr>
      </w:pPr>
      <w:r/>
      <w:bookmarkStart w:id="58" w:name="_Toc189054406"/>
      <w:r>
        <w:rPr>
          <w:sz w:val="24"/>
          <w:szCs w:val="24"/>
        </w:rPr>
        <w:t xml:space="preserve">Изменение и расторжение договора</w:t>
      </w:r>
      <w:bookmarkEnd w:id="5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numPr>
          <w:ilvl w:val="2"/>
          <w:numId w:val="16"/>
        </w:numPr>
        <w:ind w:left="0" w:firstLine="0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</w:t>
      </w:r>
      <w:r>
        <w:rPr>
          <w:rFonts w:ascii="Times New Roman" w:hAnsi="Times New Roman" w:cs="Times New Roman"/>
          <w:b w:val="0"/>
          <w:bCs w:val="0"/>
        </w:rPr>
        <w:t xml:space="preserve">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4"/>
        <w:ind w:left="0" w:firstLine="0"/>
        <w:jc w:val="both"/>
        <w:keepNext w:val="0"/>
        <w:spacing w:after="0"/>
        <w:widowControl w:val="off"/>
        <w:tabs>
          <w:tab w:val="clear" w:pos="57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233"/>
        <w:numPr>
          <w:ilvl w:val="0"/>
          <w:numId w:val="16"/>
        </w:numPr>
        <w:ind w:left="0" w:firstLine="0"/>
        <w:jc w:val="both"/>
        <w:widowControl w:val="off"/>
        <w:tabs>
          <w:tab w:val="left" w:pos="993" w:leader="none"/>
        </w:tabs>
        <w:rPr>
          <w:b/>
        </w:rPr>
        <w:outlineLvl w:val="0"/>
      </w:pPr>
      <w:r/>
      <w:bookmarkStart w:id="59" w:name="_Toc316294937"/>
      <w:r/>
      <w:bookmarkStart w:id="60" w:name="_Ref316334856"/>
      <w:r/>
      <w:bookmarkStart w:id="61" w:name="_Toc425777344"/>
      <w:r/>
      <w:bookmarkStart w:id="62" w:name="_Toc189054407"/>
      <w:r>
        <w:rPr>
          <w:b/>
        </w:rPr>
        <w:t xml:space="preserve">ТРЕБОВАНИЯ, ПРЕДЪЯВЛЯЕМЫЕ К УЧАСТНИКАМ </w:t>
      </w:r>
      <w:bookmarkEnd w:id="59"/>
      <w:r/>
      <w:bookmarkEnd w:id="60"/>
      <w:r>
        <w:rPr>
          <w:b/>
        </w:rPr>
        <w:t xml:space="preserve">ЗАКУПКИ</w:t>
      </w:r>
      <w:bookmarkEnd w:id="61"/>
      <w:r/>
      <w:bookmarkEnd w:id="62"/>
      <w:r>
        <w:rPr>
          <w:b/>
        </w:rPr>
      </w:r>
      <w:r>
        <w:rPr>
          <w:b/>
        </w:rPr>
      </w:r>
    </w:p>
    <w:p>
      <w:pPr>
        <w:pStyle w:val="914"/>
        <w:numPr>
          <w:ilvl w:val="1"/>
          <w:numId w:val="18"/>
        </w:numPr>
        <w:ind w:left="0" w:firstLine="0"/>
        <w:jc w:val="both"/>
        <w:keepNext w:val="0"/>
        <w:spacing w:after="0"/>
        <w:widowControl w:val="off"/>
        <w:tabs>
          <w:tab w:val="left" w:pos="709" w:leader="none"/>
        </w:tabs>
        <w:rPr>
          <w:sz w:val="24"/>
          <w:szCs w:val="24"/>
        </w:rPr>
      </w:pPr>
      <w:r/>
      <w:bookmarkStart w:id="63" w:name="_Toc189054408"/>
      <w:r>
        <w:rPr>
          <w:sz w:val="24"/>
          <w:szCs w:val="24"/>
        </w:rPr>
        <w:t xml:space="preserve">Общая часть.</w:t>
      </w:r>
      <w:bookmarkEnd w:id="6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</w:t>
      </w:r>
      <w:r>
        <w:rPr>
          <w:rFonts w:ascii="Times New Roman" w:hAnsi="Times New Roman" w:cs="Times New Roman"/>
          <w:b w:val="0"/>
          <w:bCs w:val="0"/>
        </w:rPr>
        <w:t xml:space="preserve">чением юридического лица, являющегося иностранным агентом</w:t>
      </w:r>
      <w:r>
        <w:rPr>
          <w:rFonts w:ascii="Times New Roman" w:hAnsi="Times New Roman" w:cs="Times New Roman"/>
          <w:b w:val="0"/>
          <w:bCs w:val="0"/>
          <w:vertAlign w:val="superscript"/>
        </w:rPr>
        <w:footnoteReference w:id="6"/>
      </w:r>
      <w:r>
        <w:rPr>
          <w:rFonts w:ascii="Times New Roman" w:hAnsi="Times New Roman" w:cs="Times New Roman"/>
          <w:b w:val="0"/>
          <w:bCs w:val="0"/>
        </w:rPr>
        <w:t xml:space="preserve"> в соответствии с Федеральным законом от 14 июля 2022 года № 255-ФЗ "О контроле за деятельностью лиц, находящихся под иностранным влиянием" либо любое физическое лицо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или несколько физических лиц, в</w:t>
      </w:r>
      <w:r>
        <w:rPr>
          <w:rFonts w:ascii="Times New Roman" w:hAnsi="Times New Roman" w:cs="Times New Roman"/>
          <w:b w:val="0"/>
          <w:bCs w:val="0"/>
        </w:rPr>
        <w:t xml:space="preserve">ыступающих на стороне одного участника закупки, за исключением юридического лица, являющегося иностранным агентом в соответствии с Федеральным законом от 14 июля 2022 года № 255-ФЗ "О контроле за деятельностью лиц, находящихся под иностранным влиянием", в </w:t>
      </w:r>
      <w:r>
        <w:rPr>
          <w:rFonts w:ascii="Times New Roman" w:hAnsi="Times New Roman" w:cs="Times New Roman"/>
          <w:b w:val="0"/>
          <w:bCs w:val="0"/>
        </w:rPr>
        <w:t xml:space="preserve">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вступать в отношения, связанные с осуществлением закупок, как непосредственно, так и чере</w:t>
      </w:r>
      <w:r>
        <w:rPr>
          <w:rFonts w:ascii="Times New Roman" w:hAnsi="Times New Roman" w:cs="Times New Roman"/>
          <w:b w:val="0"/>
          <w:bCs w:val="0"/>
        </w:rPr>
        <w:t xml:space="preserve">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6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</w:t>
      </w:r>
      <w:r>
        <w:rPr>
          <w:rFonts w:ascii="Times New Roman" w:hAnsi="Times New Roman" w:cs="Times New Roman"/>
          <w:b w:val="0"/>
          <w:bCs w:val="0"/>
        </w:rPr>
        <w:t xml:space="preserve">творять требованиям, установленным в настоящем разделе Документации о закупке.</w:t>
      </w:r>
      <w:bookmarkEnd w:id="6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Иностранные участники закупки в составе заявки должны предоставить копии документов (</w:t>
      </w:r>
      <w:r>
        <w:rPr>
          <w:rFonts w:ascii="Times New Roman" w:hAnsi="Times New Roman" w:cs="Times New Roman"/>
          <w:b w:val="0"/>
        </w:rPr>
        <w:t xml:space="preserve">апостилированные</w:t>
      </w:r>
      <w:r>
        <w:rPr>
          <w:rFonts w:ascii="Times New Roman" w:hAnsi="Times New Roman" w:cs="Times New Roman"/>
          <w:b w:val="0"/>
        </w:rPr>
        <w:t xml:space="preserve"> копии либо с переводом на русский язык), подтверждающие их соответствие уст</w:t>
      </w:r>
      <w:r>
        <w:rPr>
          <w:rFonts w:ascii="Times New Roman" w:hAnsi="Times New Roman" w:cs="Times New Roman"/>
          <w:b w:val="0"/>
        </w:rPr>
        <w:t xml:space="preserve">ановленным в документации о закупке требованиям в соответствии с законодательством государства по месту его нахождения и (или) ведения деятельности, а также, в случае если это установлено документацией о закупке, краткую пояснительную записку, в которой он</w:t>
      </w:r>
      <w:r>
        <w:rPr>
          <w:rFonts w:ascii="Times New Roman" w:hAnsi="Times New Roman" w:cs="Times New Roman"/>
          <w:b w:val="0"/>
        </w:rPr>
        <w:t xml:space="preserve">и должны указать: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74"/>
        <w:numPr>
          <w:ilvl w:val="0"/>
          <w:numId w:val="0"/>
        </w:numPr>
        <w:spacing w:line="240" w:lineRule="auto"/>
        <w:tabs>
          <w:tab w:val="left" w:pos="709" w:leader="none"/>
        </w:tabs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а)</w:t>
      </w:r>
      <w:r>
        <w:rPr>
          <w:rFonts w:eastAsia="Times New Roman"/>
          <w:bCs/>
          <w:sz w:val="24"/>
          <w:szCs w:val="24"/>
        </w:rPr>
        <w:tab/>
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договору, заключаемому по и</w:t>
      </w:r>
      <w:r>
        <w:rPr>
          <w:rFonts w:eastAsia="Times New Roman"/>
          <w:bCs/>
          <w:sz w:val="24"/>
          <w:szCs w:val="24"/>
        </w:rPr>
        <w:t xml:space="preserve">тогам закупки;</w:t>
      </w:r>
      <w:r>
        <w:rPr>
          <w:rFonts w:eastAsia="Times New Roman"/>
          <w:bCs/>
          <w:sz w:val="24"/>
          <w:szCs w:val="24"/>
        </w:rPr>
      </w:r>
      <w:r>
        <w:rPr>
          <w:rFonts w:eastAsia="Times New Roman"/>
          <w:bCs/>
          <w:sz w:val="24"/>
          <w:szCs w:val="24"/>
        </w:rPr>
      </w:r>
    </w:p>
    <w:p>
      <w:pPr>
        <w:pStyle w:val="1274"/>
        <w:numPr>
          <w:ilvl w:val="0"/>
          <w:numId w:val="0"/>
        </w:numPr>
        <w:spacing w:line="240" w:lineRule="auto"/>
        <w:tabs>
          <w:tab w:val="left" w:pos="709" w:leader="none"/>
        </w:tabs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б)</w:t>
      </w:r>
      <w:r>
        <w:rPr>
          <w:rFonts w:eastAsia="Times New Roman"/>
          <w:bCs/>
          <w:sz w:val="24"/>
          <w:szCs w:val="24"/>
        </w:rPr>
        <w:tab/>
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</w:r>
      <w:r>
        <w:rPr>
          <w:rFonts w:eastAsia="Times New Roman"/>
          <w:bCs/>
          <w:sz w:val="24"/>
          <w:szCs w:val="24"/>
        </w:rPr>
      </w:r>
      <w:r>
        <w:rPr>
          <w:rFonts w:eastAsia="Times New Roman"/>
          <w:bCs/>
          <w:sz w:val="24"/>
          <w:szCs w:val="24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</w:t>
      </w:r>
      <w:r>
        <w:rPr>
          <w:rFonts w:ascii="Times New Roman" w:hAnsi="Times New Roman" w:cs="Times New Roman"/>
          <w:b w:val="0"/>
        </w:rPr>
        <w:t xml:space="preserve">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 в части требований, не подлежащих суммированию (наличию </w:t>
      </w:r>
      <w:r>
        <w:rPr>
          <w:rFonts w:ascii="Times New Roman" w:hAnsi="Times New Roman" w:cs="Times New Roman"/>
          <w:b w:val="0"/>
        </w:rPr>
        <w:t xml:space="preserve">гражданской правоспособности в полном объеме, не нахождения в процессе ликвидации, отсутствия в реестре недобросовестных поставщиков, соответствию требованиям по финансовой устойчивости (в случае установления данного требования в</w:t>
      </w:r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Приложении № 1 «Техническо</w:t>
      </w:r>
      <w:r>
        <w:rPr>
          <w:rFonts w:ascii="Times New Roman" w:hAnsi="Times New Roman" w:cs="Times New Roman"/>
          <w:b w:val="0"/>
        </w:rPr>
        <w:t xml:space="preserve">е задание») и т.п.).</w:t>
      </w:r>
      <w:r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</w:t>
      </w:r>
      <w:r>
        <w:rPr>
          <w:rFonts w:ascii="Times New Roman" w:hAnsi="Times New Roman" w:cs="Times New Roman"/>
          <w:b w:val="0"/>
        </w:rPr>
        <w:t xml:space="preserve">апример, наличие лицензий и иных специальных разрешительных документов) 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</w:t>
      </w:r>
      <w:r>
        <w:rPr>
          <w:rFonts w:ascii="Times New Roman" w:hAnsi="Times New Roman" w:cs="Times New Roman"/>
          <w:b w:val="0"/>
        </w:rPr>
        <w:t xml:space="preserve">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(субпоставщиков) у других участников закупки. В случае невыполнения э</w:t>
      </w:r>
      <w:r>
        <w:rPr>
          <w:rFonts w:ascii="Times New Roman" w:hAnsi="Times New Roman" w:cs="Times New Roman"/>
          <w:b w:val="0"/>
        </w:rPr>
        <w:t xml:space="preserve">тих требований заявки с участием таких лиц будут отклонены без рассмотрения по существу. Любое юридическое лицо или индивидуальный предприниматель, не принимающее участие в данной закупке самостоятельно либо в составе коллективного участника может являться</w:t>
      </w:r>
      <w:r>
        <w:rPr>
          <w:rFonts w:ascii="Times New Roman" w:hAnsi="Times New Roman" w:cs="Times New Roman"/>
          <w:b w:val="0"/>
        </w:rPr>
        <w:t xml:space="preserve"> субподрядчиком/соисполнителем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233"/>
        <w:numPr>
          <w:ilvl w:val="2"/>
          <w:numId w:val="18"/>
        </w:numPr>
        <w:ind w:left="0" w:firstLine="0"/>
        <w:jc w:val="both"/>
        <w:widowControl w:val="off"/>
        <w:tabs>
          <w:tab w:val="left" w:pos="709" w:leader="none"/>
        </w:tabs>
      </w:pPr>
      <w:r>
        <w:t xml:space="preserve">Участник Закупки вправе привлечь к исполнению договора соисполнителей (субподрядчиков) в случае, если это допускается положениями Гражданского кодекса Российской Федерации для соответ</w:t>
      </w:r>
      <w:r>
        <w:t xml:space="preserve">ствующего предмету договора виду гражданско-правового договора. </w:t>
      </w:r>
      <w:r/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65" w:name="_Ref535962934"/>
      <w:r>
        <w:rPr>
          <w:rFonts w:ascii="Times New Roman" w:hAnsi="Times New Roman" w:cs="Times New Roman"/>
          <w:b w:val="0"/>
          <w:bCs w:val="0"/>
        </w:rPr>
        <w:t xml:space="preserve">В случае если в разделе 1 настоящей Документации, Извещении о закупке </w:t>
      </w:r>
      <w:r>
        <w:rPr>
          <w:rFonts w:ascii="Times New Roman" w:hAnsi="Times New Roman" w:cs="Times New Roman"/>
          <w:b w:val="0"/>
          <w:bCs w:val="0"/>
        </w:rPr>
        <w:t xml:space="preserve">установлены требования к привлекаемым субподрядчикам/соисполнителям </w:t>
      </w:r>
      <w:r>
        <w:rPr>
          <w:rFonts w:ascii="Times New Roman" w:hAnsi="Times New Roman" w:cs="Times New Roman"/>
          <w:b w:val="0"/>
          <w:bCs w:val="0"/>
        </w:rPr>
        <w:t xml:space="preserve">Участник Закупки должен</w:t>
      </w:r>
      <w:r>
        <w:rPr>
          <w:rFonts w:ascii="Times New Roman" w:hAnsi="Times New Roman" w:cs="Times New Roman"/>
          <w:b w:val="0"/>
          <w:bCs w:val="0"/>
        </w:rPr>
        <w:t xml:space="preserve"> предоставить в составе заявки документы, указанные в </w:t>
      </w:r>
      <w:bookmarkEnd w:id="65"/>
      <w:r>
        <w:rPr>
          <w:rFonts w:ascii="Times New Roman" w:hAnsi="Times New Roman" w:cs="Times New Roman"/>
          <w:b w:val="0"/>
          <w:bCs w:val="0"/>
        </w:rPr>
        <w:t xml:space="preserve">пункте 4.9.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914"/>
        <w:numPr>
          <w:ilvl w:val="1"/>
          <w:numId w:val="18"/>
        </w:numPr>
        <w:ind w:left="0" w:firstLine="0"/>
        <w:jc w:val="both"/>
        <w:keepNext w:val="0"/>
        <w:spacing w:after="0"/>
        <w:widowControl w:val="off"/>
        <w:tabs>
          <w:tab w:val="left" w:pos="993" w:leader="none"/>
        </w:tabs>
        <w:rPr>
          <w:sz w:val="24"/>
          <w:szCs w:val="24"/>
        </w:rPr>
      </w:pPr>
      <w:r/>
      <w:bookmarkStart w:id="66" w:name="_Toc189054409"/>
      <w:r>
        <w:rPr>
          <w:sz w:val="24"/>
          <w:szCs w:val="24"/>
        </w:rPr>
        <w:t xml:space="preserve">Обязательные требования к участникам процедуры закупки.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2"/>
          <w:numId w:val="18"/>
        </w:numPr>
        <w:contextualSpacing/>
        <w:ind w:left="0" w:firstLine="0"/>
        <w:jc w:val="both"/>
        <w:widowControl w:val="off"/>
        <w:tabs>
          <w:tab w:val="left" w:pos="993" w:leader="none"/>
        </w:tabs>
        <w:rPr>
          <w:b/>
        </w:rPr>
      </w:pPr>
      <w:r>
        <w:t xml:space="preserve">Участник закупки</w:t>
      </w:r>
      <w:r>
        <w:rPr>
          <w:color w:val="000000"/>
        </w:rPr>
        <w:t xml:space="preserve"> для того, чтобы принять участие в з</w:t>
      </w:r>
      <w:r>
        <w:rPr>
          <w:color w:val="000000"/>
        </w:rPr>
        <w:t xml:space="preserve">акупке и претендовать на победу должен </w:t>
      </w:r>
      <w:r>
        <w:rPr>
          <w:bCs/>
          <w:color w:val="000000"/>
        </w:rPr>
        <w:t xml:space="preserve">обладать гражданской правоспособностью в полном объеме для заключения и исполнения Договора, </w:t>
      </w:r>
      <w:r>
        <w:rPr>
          <w:color w:val="000000"/>
        </w:rPr>
        <w:t xml:space="preserve">физическое лицо – обладать дееспособностью в полном объеме для заключения и исполнения Договора (далее по тексту - правоспос</w:t>
      </w:r>
      <w:r>
        <w:rPr>
          <w:color w:val="000000"/>
        </w:rPr>
        <w:t xml:space="preserve">обность)</w:t>
      </w:r>
      <w:r>
        <w:rPr>
          <w:bCs/>
          <w:color w:val="000000"/>
        </w:rPr>
        <w:t xml:space="preserve">, а также</w:t>
      </w:r>
      <w:r>
        <w:rPr>
          <w:color w:val="000000"/>
        </w:rPr>
        <w:t xml:space="preserve"> удовлетворять требованиям, установленным в пункте 3.2.2. настоящей Документации и в </w:t>
      </w:r>
      <w:r>
        <w:t xml:space="preserve">Приложении № 1 «Техническое задание» к настоящей Документации.</w:t>
      </w:r>
      <w:r>
        <w:rPr>
          <w:b/>
        </w:rPr>
      </w:r>
      <w:r>
        <w:rPr>
          <w:b/>
        </w:rPr>
      </w:r>
    </w:p>
    <w:p>
      <w:pPr>
        <w:pStyle w:val="1233"/>
        <w:numPr>
          <w:ilvl w:val="2"/>
          <w:numId w:val="18"/>
        </w:numPr>
        <w:contextualSpacing/>
        <w:ind w:left="0" w:firstLine="0"/>
        <w:jc w:val="both"/>
        <w:widowControl w:val="off"/>
        <w:tabs>
          <w:tab w:val="left" w:pos="993" w:leader="none"/>
          <w:tab w:val="left" w:pos="1701" w:leader="none"/>
        </w:tabs>
        <w:rPr>
          <w:color w:val="000000"/>
        </w:rPr>
      </w:pPr>
      <w:r>
        <w:rPr>
          <w:u w:val="single"/>
        </w:rPr>
        <w:t xml:space="preserve">Участник закупки должен соответствовать следующим требованиям: </w:t>
      </w:r>
      <w:r>
        <w:rPr>
          <w:color w:val="000000"/>
        </w:rPr>
      </w:r>
      <w:r>
        <w:rPr>
          <w:color w:val="000000"/>
        </w:rPr>
      </w:r>
    </w:p>
    <w:p>
      <w:pPr>
        <w:pStyle w:val="1233"/>
        <w:contextualSpacing/>
        <w:ind w:left="0"/>
        <w:jc w:val="both"/>
        <w:widowControl w:val="off"/>
        <w:tabs>
          <w:tab w:val="left" w:pos="993" w:leader="none"/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1) соответствовать требован</w:t>
      </w:r>
      <w:r>
        <w:rPr>
          <w:color w:val="000000"/>
        </w:rPr>
        <w:t xml:space="preserve">иям, устанавливаемым в соответствии с действующим законодательством Российской Федерации к лицам, осуществляющим выполнение договора;</w:t>
      </w:r>
      <w:r>
        <w:rPr>
          <w:color w:val="000000"/>
        </w:rPr>
      </w:r>
      <w:r>
        <w:rPr>
          <w:color w:val="000000"/>
        </w:rPr>
      </w:r>
    </w:p>
    <w:p>
      <w:pPr>
        <w:pStyle w:val="1265"/>
        <w:ind w:firstLine="0"/>
        <w:spacing w:line="240" w:lineRule="auto"/>
        <w:tabs>
          <w:tab w:val="left" w:pos="851" w:leader="none"/>
          <w:tab w:val="left" w:pos="993" w:leader="none"/>
        </w:tabs>
      </w:pPr>
      <w:r>
        <w:t xml:space="preserve">2) не находиться в процессе ликвидации;</w:t>
      </w:r>
      <w:r/>
    </w:p>
    <w:p>
      <w:pPr>
        <w:pStyle w:val="1265"/>
        <w:ind w:firstLine="0"/>
        <w:spacing w:line="240" w:lineRule="auto"/>
        <w:tabs>
          <w:tab w:val="left" w:pos="851" w:leader="none"/>
          <w:tab w:val="left" w:pos="993" w:leader="none"/>
        </w:tabs>
      </w:pPr>
      <w:r>
        <w:t xml:space="preserve">3) должно отсутствовать вступившее в законную силу решение арбитражного суда о при</w:t>
      </w:r>
      <w:r>
        <w:t xml:space="preserve">знании Участника Запроса предложений банкротом и об открытии Запрос </w:t>
      </w:r>
      <w:r>
        <w:t xml:space="preserve">предложенийного</w:t>
      </w:r>
      <w:r>
        <w:t xml:space="preserve"> производства;</w:t>
      </w:r>
      <w:r/>
    </w:p>
    <w:p>
      <w:pPr>
        <w:pStyle w:val="1265"/>
        <w:ind w:firstLine="0"/>
        <w:spacing w:line="240" w:lineRule="auto"/>
        <w:tabs>
          <w:tab w:val="left" w:pos="851" w:leader="none"/>
          <w:tab w:val="left" w:pos="993" w:leader="none"/>
        </w:tabs>
        <w:rPr>
          <w:rStyle w:val="1264"/>
          <w:color w:val="auto"/>
          <w:sz w:val="24"/>
          <w:szCs w:val="24"/>
        </w:rPr>
      </w:pPr>
      <w:r>
        <w:t xml:space="preserve">4) деятельность участника закупки не должна быть приостановлена в порядке, предусмотренном законодательством РФ</w:t>
      </w:r>
      <w:r>
        <w:rPr>
          <w:rStyle w:val="1120"/>
        </w:rPr>
        <w:footnoteReference w:id="7"/>
      </w:r>
      <w:r>
        <w:t xml:space="preserve">;</w:t>
      </w:r>
      <w:r>
        <w:rPr>
          <w:rStyle w:val="1264"/>
          <w:color w:val="auto"/>
          <w:sz w:val="24"/>
          <w:szCs w:val="24"/>
        </w:rPr>
      </w:r>
      <w:r>
        <w:rPr>
          <w:rStyle w:val="1264"/>
          <w:color w:val="auto"/>
          <w:sz w:val="24"/>
          <w:szCs w:val="24"/>
        </w:rPr>
      </w:r>
    </w:p>
    <w:p>
      <w:pPr>
        <w:pStyle w:val="1265"/>
        <w:ind w:firstLine="0"/>
        <w:spacing w:line="240" w:lineRule="auto"/>
        <w:tabs>
          <w:tab w:val="left" w:pos="851" w:leader="none"/>
          <w:tab w:val="left" w:pos="993" w:leader="none"/>
        </w:tabs>
      </w:pPr>
      <w:r>
        <w:rPr>
          <w:rStyle w:val="1264"/>
          <w:sz w:val="24"/>
          <w:szCs w:val="24"/>
        </w:rPr>
        <w:t xml:space="preserve">5) не находиться в стадии реорганизации, в с</w:t>
      </w:r>
      <w:r>
        <w:rPr>
          <w:rStyle w:val="1264"/>
          <w:sz w:val="24"/>
          <w:szCs w:val="24"/>
        </w:rPr>
        <w:t xml:space="preserve">лучае если реорганизация приведет к прекращению деятельности Участника закупки. Данный подпункт не применяется в случае реорганизации в форме преобразования юридического лица одной организационно-правовой формы в юридическое лицо другой организационно-прав</w:t>
      </w:r>
      <w:r>
        <w:rPr>
          <w:rStyle w:val="1264"/>
          <w:sz w:val="24"/>
          <w:szCs w:val="24"/>
        </w:rPr>
        <w:t xml:space="preserve">овой формы (ч. 5 ст. 58 ГК РФ)</w:t>
      </w:r>
      <w:r>
        <w:t xml:space="preserve">;</w:t>
      </w:r>
      <w:r/>
    </w:p>
    <w:p>
      <w:pPr>
        <w:pStyle w:val="1265"/>
        <w:ind w:firstLine="0"/>
        <w:spacing w:line="240" w:lineRule="auto"/>
        <w:tabs>
          <w:tab w:val="left" w:pos="851" w:leader="none"/>
          <w:tab w:val="left" w:pos="993" w:leader="none"/>
        </w:tabs>
        <w:rPr>
          <w:color w:val="000000"/>
        </w:rPr>
      </w:pPr>
      <w:r>
        <w:rPr>
          <w:color w:val="000000"/>
        </w:rPr>
        <w:t xml:space="preserve">6)</w:t>
      </w:r>
      <w:r>
        <w:rPr>
          <w:bCs/>
        </w:rPr>
        <w:t xml:space="preserve"> не быть включенным в</w:t>
      </w:r>
      <w:r>
        <w:rPr>
          <w:rFonts w:eastAsia="Arial Unicode MS"/>
          <w:bCs/>
        </w:rPr>
        <w:t xml:space="preserve"> Реестр иностранных агентов, который ведется в соответствии с Федеральным законом от 14 июля 2022 года № 255-ФЗ "О </w:t>
      </w:r>
      <w:r>
        <w:rPr>
          <w:rFonts w:eastAsia="Arial Unicode MS"/>
          <w:bCs/>
        </w:rPr>
        <w:t xml:space="preserve">контроле за</w:t>
      </w:r>
      <w:r>
        <w:rPr>
          <w:rFonts w:eastAsia="Arial Unicode MS"/>
          <w:bCs/>
        </w:rPr>
        <w:t xml:space="preserve"> деятельностью лиц, находящихся под иностранным влиянием" </w:t>
      </w:r>
      <w:r>
        <w:rPr>
          <w:rFonts w:eastAsia="Arial Unicode MS"/>
          <w:bCs/>
          <w:i/>
        </w:rPr>
        <w:t xml:space="preserve">(информация прове</w:t>
      </w:r>
      <w:r>
        <w:rPr>
          <w:rFonts w:eastAsia="Arial Unicode MS"/>
          <w:bCs/>
          <w:i/>
        </w:rPr>
        <w:t xml:space="preserve">ряется Организатором на основании сведений, указанных на сайте Министерства юстиции РФ)</w:t>
      </w:r>
      <w:r>
        <w:rPr>
          <w:rFonts w:eastAsia="Arial Unicode MS"/>
          <w:bCs/>
        </w:rPr>
        <w:t xml:space="preserve">;</w:t>
      </w:r>
      <w:r>
        <w:rPr>
          <w:color w:val="000000"/>
        </w:rPr>
      </w:r>
      <w:r>
        <w:rPr>
          <w:color w:val="000000"/>
        </w:rPr>
      </w:r>
    </w:p>
    <w:p>
      <w:pPr>
        <w:pStyle w:val="1265"/>
        <w:ind w:firstLine="0"/>
        <w:spacing w:line="240" w:lineRule="auto"/>
        <w:tabs>
          <w:tab w:val="left" w:pos="851" w:leader="none"/>
          <w:tab w:val="left" w:pos="993" w:leader="none"/>
        </w:tabs>
        <w:rPr>
          <w:rFonts w:eastAsia="Arial Unicode MS"/>
          <w:bCs/>
        </w:rPr>
      </w:pPr>
      <w:r>
        <w:rPr>
          <w:bCs/>
        </w:rPr>
        <w:t xml:space="preserve">7) не быть включенным в</w:t>
      </w:r>
      <w:r>
        <w:rPr>
          <w:rFonts w:eastAsia="Arial Unicode MS"/>
          <w:bCs/>
        </w:rPr>
        <w:t xml:space="preserve"> Реестр</w:t>
      </w:r>
      <w:r>
        <w:rPr>
          <w:bCs/>
        </w:rPr>
        <w:t xml:space="preserve"> недобросовестных поставщико</w:t>
      </w:r>
      <w:r>
        <w:rPr>
          <w:rFonts w:eastAsia="Arial Unicode MS"/>
          <w:bCs/>
        </w:rPr>
        <w:t xml:space="preserve">в, который ведется в соответствии с Федеральным законом от 18.07.2011 № 223-ФЗ «О закупках товаров, работ, ус</w:t>
      </w:r>
      <w:r>
        <w:rPr>
          <w:rFonts w:eastAsia="Arial Unicode MS"/>
          <w:bCs/>
        </w:rPr>
        <w:t xml:space="preserve">луг отдельными видами юридических лиц» </w:t>
      </w:r>
      <w:r>
        <w:rPr>
          <w:bCs/>
        </w:rPr>
        <w:t xml:space="preserve">либо в </w:t>
      </w:r>
      <w:r>
        <w:rPr>
          <w:rFonts w:eastAsia="Arial Unicode MS"/>
          <w:bCs/>
        </w:rPr>
        <w:t xml:space="preserve">Реестр недобросовестных поставщиков, который ведется в соответствии с Федеральным законом № 44-ФЗ от 05.04.2013 года «О контрактной системе в сфере закупок товаров, работ, услуг для обеспечения государственных </w:t>
      </w:r>
      <w:r>
        <w:rPr>
          <w:rFonts w:eastAsia="Arial Unicode MS"/>
          <w:bCs/>
        </w:rPr>
        <w:t xml:space="preserve">и муниципальных нужд»;</w:t>
      </w:r>
      <w:r>
        <w:rPr>
          <w:rFonts w:eastAsia="Arial Unicode MS"/>
          <w:bCs/>
        </w:rPr>
      </w:r>
      <w:r>
        <w:rPr>
          <w:rFonts w:eastAsia="Arial Unicode MS"/>
          <w:bCs/>
        </w:rPr>
      </w:r>
    </w:p>
    <w:p>
      <w:pPr>
        <w:pStyle w:val="1265"/>
        <w:ind w:firstLine="0"/>
        <w:spacing w:line="240" w:lineRule="auto"/>
        <w:tabs>
          <w:tab w:val="left" w:pos="851" w:leader="none"/>
          <w:tab w:val="left" w:pos="993" w:leader="none"/>
        </w:tabs>
        <w:rPr>
          <w:rStyle w:val="1264"/>
          <w:sz w:val="24"/>
          <w:szCs w:val="24"/>
        </w:rPr>
      </w:pPr>
      <w:r>
        <w:rPr>
          <w:rFonts w:eastAsia="Arial Unicode MS"/>
          <w:bCs/>
        </w:rPr>
        <w:t xml:space="preserve">8) </w:t>
      </w:r>
      <w:r>
        <w:rPr>
          <w:color w:val="000000"/>
        </w:rPr>
        <w:t xml:space="preserve">у Участника закупки должна отсутствовать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</w:t>
      </w:r>
      <w:r>
        <w:rPr>
          <w:color w:val="000000"/>
        </w:rPr>
        <w:t xml:space="preserve">ет двадцать пять процентов </w:t>
      </w:r>
      <w:r>
        <w:t xml:space="preserve">стоимости чистых активов Участника </w:t>
      </w:r>
      <w:r>
        <w:rPr>
          <w:color w:val="000000"/>
        </w:rPr>
        <w:t xml:space="preserve">по данным бухгалтерской отчетности за последний завершенный отчетный период. </w:t>
      </w:r>
      <w:r>
        <w:t xml:space="preserve">Данное условие не применяется в случае, если </w:t>
      </w:r>
      <w:r>
        <w:rPr>
          <w:rStyle w:val="1264"/>
          <w:sz w:val="24"/>
          <w:szCs w:val="24"/>
        </w:rPr>
        <w:t xml:space="preserve">Участник обжаловал в судебном порядке наличие указанной задолженности в </w:t>
      </w:r>
      <w:r>
        <w:rPr>
          <w:rStyle w:val="1264"/>
          <w:sz w:val="24"/>
          <w:szCs w:val="24"/>
        </w:rPr>
        <w:t xml:space="preserve">соответствии с законодательством Российской Федерации и решение по такой жалобе на день рассмотрения заявки на участие в Закупке не принято. </w:t>
      </w:r>
      <w:r>
        <w:rPr>
          <w:rStyle w:val="1264"/>
          <w:sz w:val="24"/>
          <w:szCs w:val="24"/>
        </w:rPr>
        <w:t xml:space="preserve">Участник должен приложить в составе Заявки подтверждающие документы, подтверждающие обжалование;</w:t>
      </w:r>
      <w:r>
        <w:rPr>
          <w:rStyle w:val="1264"/>
          <w:sz w:val="24"/>
          <w:szCs w:val="24"/>
        </w:rPr>
      </w:r>
      <w:r>
        <w:rPr>
          <w:rStyle w:val="1264"/>
          <w:sz w:val="24"/>
          <w:szCs w:val="24"/>
        </w:rPr>
      </w:r>
    </w:p>
    <w:p>
      <w:pPr>
        <w:pStyle w:val="1265"/>
        <w:ind w:firstLine="0"/>
        <w:spacing w:line="240" w:lineRule="auto"/>
        <w:tabs>
          <w:tab w:val="left" w:pos="851" w:leader="none"/>
          <w:tab w:val="left" w:pos="993" w:leader="none"/>
        </w:tabs>
        <w:rPr>
          <w:color w:val="000000"/>
        </w:rPr>
      </w:pPr>
      <w:r>
        <w:rPr>
          <w:rStyle w:val="1264"/>
          <w:sz w:val="24"/>
          <w:szCs w:val="24"/>
        </w:rPr>
        <w:t xml:space="preserve">9) </w:t>
      </w:r>
      <w:r>
        <w:rPr>
          <w:color w:val="000000"/>
        </w:rPr>
        <w:t xml:space="preserve">не являться орг</w:t>
      </w:r>
      <w:r>
        <w:rPr>
          <w:color w:val="000000"/>
        </w:rPr>
        <w:t xml:space="preserve">анизацией, на имущество которой в части необходимой для исполнения договора наложен арест по решению суда, административного органа и (или) экономическая деятельность, которой приостановлена;</w:t>
      </w:r>
      <w:r>
        <w:rPr>
          <w:color w:val="000000"/>
        </w:rPr>
      </w:r>
      <w:r>
        <w:rPr>
          <w:color w:val="000000"/>
        </w:rPr>
      </w:r>
    </w:p>
    <w:p>
      <w:pPr>
        <w:spacing w:after="0"/>
        <w:widowControl w:val="off"/>
        <w:tabs>
          <w:tab w:val="left" w:pos="993" w:leader="none"/>
          <w:tab w:val="left" w:pos="1701" w:leader="none"/>
        </w:tabs>
        <w:rPr>
          <w:color w:val="000000"/>
        </w:rPr>
      </w:pPr>
      <w:r>
        <w:rPr>
          <w:color w:val="000000"/>
        </w:rPr>
        <w:t xml:space="preserve">10) иметь соответствующие разрешающие документы на осуществление</w:t>
      </w:r>
      <w:r>
        <w:rPr>
          <w:color w:val="000000"/>
        </w:rPr>
        <w:t xml:space="preserve"> видов деятельности, связанных с выполнением договора, указанные в Приложении №1 «Техническое задание»; (</w:t>
      </w:r>
      <w:r>
        <w:rPr>
          <w:i/>
          <w:color w:val="000000"/>
          <w:highlight w:val="lightGray"/>
        </w:rPr>
        <w:t xml:space="preserve">при закупках на поставку ТМЦ</w:t>
      </w:r>
      <w:r>
        <w:rPr>
          <w:color w:val="000000"/>
          <w:highlight w:val="lightGray"/>
        </w:rPr>
        <w:t xml:space="preserve"> </w:t>
      </w:r>
      <w:r>
        <w:rPr>
          <w:i/>
          <w:color w:val="000000"/>
          <w:highlight w:val="lightGray"/>
        </w:rPr>
        <w:t xml:space="preserve">данное требование применяется в случае наличия в техническом задании дополнительных услуг: </w:t>
      </w:r>
      <w:r>
        <w:rPr>
          <w:i/>
          <w:color w:val="000000"/>
          <w:highlight w:val="lightGray"/>
        </w:rPr>
        <w:t xml:space="preserve">шеф-монтаж</w:t>
      </w:r>
      <w:r>
        <w:rPr>
          <w:i/>
          <w:color w:val="000000"/>
          <w:highlight w:val="lightGray"/>
        </w:rPr>
        <w:t xml:space="preserve">/надзор и т. п.)</w:t>
      </w:r>
      <w:r>
        <w:rPr>
          <w:i/>
          <w:color w:val="000000"/>
        </w:rPr>
        <w:t xml:space="preserve">; </w:t>
      </w:r>
      <w:r>
        <w:rPr>
          <w:color w:val="000000"/>
        </w:rPr>
      </w:r>
      <w:r>
        <w:rPr>
          <w:color w:val="000000"/>
        </w:rPr>
      </w:r>
    </w:p>
    <w:p>
      <w:pPr>
        <w:pStyle w:val="1233"/>
        <w:contextualSpacing/>
        <w:ind w:left="0"/>
        <w:jc w:val="both"/>
        <w:widowControl w:val="off"/>
        <w:tabs>
          <w:tab w:val="left" w:pos="993" w:leader="none"/>
        </w:tabs>
      </w:pPr>
      <w:r>
        <w:t xml:space="preserve">11</w:t>
      </w:r>
      <w:r>
        <w:t xml:space="preserve">) соответствовать требованиям к финансовой устойчивости Участника закупки, в случае если данные требования указаны в Приложении №1 «Техническое задание»;</w:t>
      </w:r>
      <w:r/>
    </w:p>
    <w:p>
      <w:pPr>
        <w:pStyle w:val="1233"/>
        <w:contextualSpacing/>
        <w:ind w:left="0"/>
        <w:jc w:val="both"/>
        <w:widowControl w:val="off"/>
        <w:tabs>
          <w:tab w:val="left" w:pos="993" w:leader="none"/>
        </w:tabs>
      </w:pPr>
      <w:r>
        <w:t xml:space="preserve">12) соответствовать следующим требованиям к квалификации Участника закупки:</w:t>
      </w:r>
      <w:r/>
    </w:p>
    <w:p>
      <w:pPr>
        <w:spacing w:after="0"/>
        <w:widowControl w:val="off"/>
        <w:tabs>
          <w:tab w:val="left" w:pos="993" w:leader="none"/>
          <w:tab w:val="left" w:pos="1701" w:leader="none"/>
        </w:tabs>
      </w:pPr>
      <w:r>
        <w:t xml:space="preserve">- иметь квалифицированный </w:t>
      </w:r>
      <w:r>
        <w:t xml:space="preserve">персонал, в случае если данное требование указано в Приложении №1 «Техническое задание» к настоящей Документации </w:t>
      </w:r>
      <w:r>
        <w:rPr>
          <w:color w:val="000000"/>
          <w:highlight w:val="lightGray"/>
        </w:rPr>
        <w:t xml:space="preserve">(</w:t>
      </w:r>
      <w:r>
        <w:rPr>
          <w:i/>
          <w:color w:val="000000"/>
          <w:highlight w:val="lightGray"/>
        </w:rPr>
        <w:t xml:space="preserve">при закупках на поставку ТМЦ</w:t>
      </w:r>
      <w:r>
        <w:rPr>
          <w:color w:val="000000"/>
          <w:highlight w:val="lightGray"/>
        </w:rPr>
        <w:t xml:space="preserve"> </w:t>
      </w:r>
      <w:r>
        <w:rPr>
          <w:i/>
          <w:color w:val="000000"/>
          <w:highlight w:val="lightGray"/>
        </w:rPr>
        <w:t xml:space="preserve">данное требование применяется в случае наличия в техническом задании дополнительных услуг: </w:t>
      </w:r>
      <w:r>
        <w:rPr>
          <w:i/>
          <w:color w:val="000000"/>
          <w:highlight w:val="lightGray"/>
        </w:rPr>
        <w:t xml:space="preserve">шеф-монтаж</w:t>
      </w:r>
      <w:r>
        <w:rPr>
          <w:i/>
          <w:color w:val="000000"/>
          <w:highlight w:val="lightGray"/>
        </w:rPr>
        <w:t xml:space="preserve">/надзор и т.</w:t>
      </w:r>
      <w:r>
        <w:rPr>
          <w:i/>
          <w:color w:val="000000"/>
          <w:highlight w:val="lightGray"/>
        </w:rPr>
        <w:t xml:space="preserve"> п.)</w:t>
      </w:r>
      <w:r>
        <w:t xml:space="preserve">;</w:t>
      </w:r>
      <w:r/>
    </w:p>
    <w:p>
      <w:pPr>
        <w:spacing w:after="0"/>
        <w:widowControl w:val="off"/>
        <w:tabs>
          <w:tab w:val="left" w:pos="993" w:leader="none"/>
          <w:tab w:val="left" w:pos="1701" w:leader="none"/>
        </w:tabs>
      </w:pPr>
      <w:r>
        <w:t xml:space="preserve">- иметь опыт выполнения аналогичных договоров, </w:t>
      </w:r>
      <w:r>
        <w:rPr>
          <w:b/>
        </w:rPr>
        <w:t xml:space="preserve">в случае если данное требование указано в Приложении №1 «Техническое задание» к настоящей Документации</w:t>
      </w:r>
      <w:r>
        <w:t xml:space="preserve">;</w:t>
      </w:r>
      <w:r/>
    </w:p>
    <w:p>
      <w:pPr>
        <w:spacing w:after="0"/>
        <w:widowControl w:val="off"/>
        <w:tabs>
          <w:tab w:val="left" w:pos="993" w:leader="none"/>
          <w:tab w:val="left" w:pos="1701" w:leader="none"/>
        </w:tabs>
      </w:pPr>
      <w:r>
        <w:t xml:space="preserve">- иметь материально-технические ресурсы, в случае если данное требование указано в Приложении №1 «Т</w:t>
      </w:r>
      <w:r>
        <w:t xml:space="preserve">ехническое задание» к настоящей Документации</w:t>
      </w:r>
      <w:r>
        <w:rPr>
          <w:color w:val="000000"/>
          <w:highlight w:val="lightGray"/>
        </w:rPr>
        <w:t xml:space="preserve"> (</w:t>
      </w:r>
      <w:r>
        <w:rPr>
          <w:i/>
          <w:color w:val="000000"/>
          <w:highlight w:val="lightGray"/>
        </w:rPr>
        <w:t xml:space="preserve">при закупках на поставку ТМЦ</w:t>
      </w:r>
      <w:r>
        <w:rPr>
          <w:color w:val="000000"/>
          <w:highlight w:val="lightGray"/>
        </w:rPr>
        <w:t xml:space="preserve"> </w:t>
      </w:r>
      <w:r>
        <w:rPr>
          <w:i/>
          <w:color w:val="000000"/>
          <w:highlight w:val="lightGray"/>
        </w:rPr>
        <w:t xml:space="preserve">данное требование применяется в случае наличия в техническом задании дополнительных услуг: </w:t>
      </w:r>
      <w:r>
        <w:rPr>
          <w:i/>
          <w:color w:val="000000"/>
          <w:highlight w:val="lightGray"/>
        </w:rPr>
        <w:t xml:space="preserve">шеф-монтаж</w:t>
      </w:r>
      <w:r>
        <w:rPr>
          <w:i/>
          <w:color w:val="000000"/>
          <w:highlight w:val="lightGray"/>
        </w:rPr>
        <w:t xml:space="preserve">/надзор и т. п.)</w:t>
      </w:r>
      <w:r>
        <w:t xml:space="preserve">.</w:t>
      </w:r>
      <w:r/>
    </w:p>
    <w:p>
      <w:pPr>
        <w:spacing w:after="0"/>
        <w:widowControl w:val="off"/>
      </w:pPr>
      <w:r/>
      <w:r/>
    </w:p>
    <w:p>
      <w:pPr>
        <w:pStyle w:val="1233"/>
        <w:numPr>
          <w:ilvl w:val="0"/>
          <w:numId w:val="18"/>
        </w:numPr>
        <w:ind w:left="0" w:firstLine="0"/>
        <w:jc w:val="both"/>
        <w:widowControl w:val="off"/>
        <w:rPr>
          <w:b/>
        </w:rPr>
        <w:outlineLvl w:val="0"/>
      </w:pPr>
      <w:r/>
      <w:bookmarkStart w:id="67" w:name="_Toc189054410"/>
      <w:r>
        <w:rPr>
          <w:b/>
        </w:rPr>
        <w:t xml:space="preserve">ТРЕБОВАНИЯ К ЗАЯВКЕ НА УЧАСТИЕ В ЗАКУПКЕ.</w:t>
      </w:r>
      <w:bookmarkEnd w:id="67"/>
      <w:r>
        <w:rPr>
          <w:b/>
        </w:rPr>
      </w:r>
      <w:r>
        <w:rPr>
          <w:b/>
        </w:rPr>
      </w:r>
    </w:p>
    <w:p>
      <w:pPr>
        <w:pStyle w:val="914"/>
        <w:numPr>
          <w:ilvl w:val="1"/>
          <w:numId w:val="18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68" w:name="_Toc189054411"/>
      <w:r>
        <w:rPr>
          <w:sz w:val="24"/>
          <w:szCs w:val="24"/>
        </w:rPr>
        <w:t xml:space="preserve">Общие требования к заявке на участие в закупке.</w:t>
      </w:r>
      <w:bookmarkEnd w:id="6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Неполное представление информации, запрашиваемой в Документации о закупке, подача заявки, не отвечающей требованиям Документации о закупке, размещение в составе заявки пустых форм или заполнение соответствующ</w:t>
      </w:r>
      <w:r>
        <w:rPr>
          <w:rFonts w:ascii="Times New Roman" w:hAnsi="Times New Roman" w:cs="Times New Roman"/>
          <w:b w:val="0"/>
          <w:bCs w:val="0"/>
        </w:rPr>
        <w:t xml:space="preserve">их форм не в соответствии с инструкцией по их заполнению является основанием для признания заявки не соответствующей требованиям документации о закупке и отклонения участника от участия в закупке, если иное специально не оговорено иными положениями Докумен</w:t>
      </w:r>
      <w:r>
        <w:rPr>
          <w:rFonts w:ascii="Times New Roman" w:hAnsi="Times New Roman" w:cs="Times New Roman"/>
          <w:b w:val="0"/>
          <w:bCs w:val="0"/>
        </w:rPr>
        <w:t xml:space="preserve">тации.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соответствии с требованиями данного </w:t>
      </w:r>
      <w:r>
        <w:rPr>
          <w:rFonts w:ascii="Times New Roman" w:hAnsi="Times New Roman" w:cs="Times New Roman"/>
          <w:b w:val="0"/>
          <w:bCs w:val="0"/>
        </w:rPr>
        <w:t xml:space="preserve">раздела.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</w:t>
      </w:r>
      <w:r>
        <w:rPr>
          <w:rFonts w:ascii="Times New Roman" w:hAnsi="Times New Roman" w:cs="Times New Roman"/>
          <w:b w:val="0"/>
          <w:bCs w:val="0"/>
        </w:rPr>
        <w:t xml:space="preserve">правовых актов, если иное не указано в Приложении №1 «Техническое задание».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заявки, имеются расхождения между обоз</w:t>
      </w:r>
      <w:r>
        <w:rPr>
          <w:rFonts w:ascii="Times New Roman" w:hAnsi="Times New Roman" w:cs="Times New Roman"/>
          <w:b w:val="0"/>
          <w:bCs w:val="0"/>
        </w:rPr>
        <w:t xml:space="preserve">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</w:t>
      </w:r>
      <w:r>
        <w:rPr>
          <w:rFonts w:ascii="Times New Roman" w:hAnsi="Times New Roman" w:cs="Times New Roman"/>
          <w:b w:val="0"/>
          <w:bCs w:val="0"/>
        </w:rPr>
        <w:t xml:space="preserve">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предоставляемые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заявки, должны быть заполнены по всем пунктам, за исключением пунктов, носящих рекомендательный характер.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18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</w:t>
      </w:r>
      <w:r>
        <w:rPr>
          <w:rFonts w:ascii="Times New Roman" w:hAnsi="Times New Roman" w:cs="Times New Roman"/>
          <w:b w:val="0"/>
          <w:bCs w:val="0"/>
        </w:rPr>
        <w:t xml:space="preserve">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</w:t>
      </w:r>
      <w:r>
        <w:rPr>
          <w:rFonts w:ascii="Times New Roman" w:hAnsi="Times New Roman" w:cs="Times New Roman"/>
          <w:b w:val="0"/>
          <w:bCs w:val="0"/>
        </w:rPr>
        <w:t xml:space="preserve">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spacing w:after="0"/>
        <w:widowControl w:val="off"/>
      </w:pPr>
      <w:r/>
      <w:r/>
    </w:p>
    <w:p>
      <w:pPr>
        <w:pStyle w:val="914"/>
        <w:numPr>
          <w:ilvl w:val="1"/>
          <w:numId w:val="39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69" w:name="_Toc189054412"/>
      <w:r>
        <w:rPr>
          <w:sz w:val="24"/>
          <w:szCs w:val="24"/>
        </w:rPr>
        <w:t xml:space="preserve">Оформление заявки на участие, состав документов. Требования к документам, подтверждающим соответствие Участника закупки.</w:t>
      </w:r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2"/>
          <w:numId w:val="39"/>
        </w:numPr>
        <w:ind w:left="0" w:firstLine="0"/>
        <w:jc w:val="both"/>
        <w:widowControl w:val="off"/>
        <w:tabs>
          <w:tab w:val="left" w:pos="993" w:leader="none"/>
        </w:tabs>
      </w:pPr>
      <w:r>
        <w:t xml:space="preserve">В составе заявки Участник должен </w:t>
      </w:r>
      <w:r>
        <w:t xml:space="preserve">предос</w:t>
      </w:r>
      <w:r>
        <w:t xml:space="preserve">тавить следующие обязательные документы</w:t>
      </w:r>
      <w:r>
        <w:t xml:space="preserve">, отсутствие которых влечет отклонение заявки Участника по основаниям, указанным в п. 2.11.2.7. настоящей Документации:</w:t>
      </w:r>
      <w:r/>
    </w:p>
    <w:p>
      <w:pPr>
        <w:pStyle w:val="1265"/>
        <w:numPr>
          <w:ilvl w:val="0"/>
          <w:numId w:val="23"/>
        </w:numPr>
        <w:ind w:left="0" w:firstLine="0"/>
        <w:spacing w:line="240" w:lineRule="auto"/>
        <w:tabs>
          <w:tab w:val="left" w:pos="0" w:leader="none"/>
          <w:tab w:val="left" w:pos="284" w:leader="none"/>
          <w:tab w:val="left" w:pos="567" w:leader="none"/>
        </w:tabs>
      </w:pPr>
      <w:r>
        <w:t xml:space="preserve">письмо о подаче оферты по форме и в соответствии с инструкциями, приведенными в настоящей Документации;</w:t>
      </w:r>
      <w:r/>
    </w:p>
    <w:p>
      <w:pPr>
        <w:pStyle w:val="1265"/>
        <w:ind w:firstLine="0"/>
        <w:spacing w:line="240" w:lineRule="auto"/>
        <w:tabs>
          <w:tab w:val="left" w:pos="284" w:leader="none"/>
        </w:tabs>
        <w:rPr>
          <w:u w:val="single"/>
        </w:rPr>
      </w:pPr>
      <w:r>
        <w:t xml:space="preserve">2) заполненную Спецификацию на поставку ТМЦ в формате </w:t>
      </w:r>
      <w:r>
        <w:t xml:space="preserve">Excel</w:t>
      </w:r>
      <w:r>
        <w:t xml:space="preserve"> по форме и в соответствии с инструкциями, установленными настоящей Документацией. </w:t>
      </w:r>
      <w:r>
        <w:rPr>
          <w:u w:val="single"/>
        </w:rPr>
      </w:r>
      <w:r>
        <w:rPr>
          <w:u w:val="single"/>
        </w:rPr>
      </w:r>
    </w:p>
    <w:p>
      <w:pPr>
        <w:pStyle w:val="1262"/>
        <w:numPr>
          <w:ilvl w:val="0"/>
          <w:numId w:val="42"/>
        </w:numPr>
        <w:ind w:left="0" w:firstLine="0"/>
        <w:widowControl w:val="off"/>
        <w:tabs>
          <w:tab w:val="left" w:pos="0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деклараци</w:t>
      </w:r>
      <w:r>
        <w:rPr>
          <w:szCs w:val="24"/>
        </w:rPr>
        <w:t xml:space="preserve">ю об отсутствии программных и аппаратных закладок по установленной в настоящей документации форме [</w:t>
      </w:r>
      <w:r>
        <w:rPr>
          <w:i/>
          <w:szCs w:val="24"/>
          <w:highlight w:val="lightGray"/>
        </w:rPr>
        <w:t xml:space="preserve">данная форма должна заполняться и предоставляться в случае, если в Приложении №1 «Техническое задание »имеется соответствующее требование</w:t>
      </w:r>
      <w:r>
        <w:rPr>
          <w:szCs w:val="24"/>
        </w:rPr>
        <w:t xml:space="preserve">];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42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форму предоставле</w:t>
      </w:r>
      <w:r>
        <w:rPr>
          <w:szCs w:val="24"/>
        </w:rPr>
        <w:t xml:space="preserve">ния информации о цепочке собственников по форме и в соответствии с инструкциями, приведенными в настоящей Документации, с предоставлением подтверждающих документов, указанных в инструкции по заполнению данной формы;</w:t>
      </w:r>
      <w:r>
        <w:rPr>
          <w:szCs w:val="24"/>
        </w:rPr>
      </w:r>
      <w:r>
        <w:rPr>
          <w:szCs w:val="24"/>
        </w:rPr>
      </w:r>
    </w:p>
    <w:p>
      <w:pPr>
        <w:pStyle w:val="1244"/>
        <w:numPr>
          <w:ilvl w:val="0"/>
          <w:numId w:val="42"/>
        </w:numPr>
        <w:ind w:left="0" w:firstLine="0"/>
        <w:spacing w:line="240" w:lineRule="auto"/>
        <w:widowControl w:val="off"/>
        <w:tabs>
          <w:tab w:val="left" w:pos="426" w:leader="none"/>
          <w:tab w:val="left" w:pos="851" w:leader="none"/>
          <w:tab w:val="left" w:pos="1134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оригинал независимой гарантии на участие</w:t>
      </w:r>
      <w:r>
        <w:rPr>
          <w:sz w:val="24"/>
          <w:szCs w:val="24"/>
        </w:rPr>
        <w:t xml:space="preserve"> в закупке по форме настоящей Документации [</w:t>
      </w:r>
      <w:r>
        <w:rPr>
          <w:i/>
          <w:sz w:val="24"/>
          <w:szCs w:val="24"/>
          <w:highlight w:val="lightGray"/>
        </w:rPr>
        <w:t xml:space="preserve">данный документ предоставляется в случае, если участник получил гарантию не в форме электронного документа</w:t>
      </w:r>
      <w:r>
        <w:rPr>
          <w:sz w:val="24"/>
          <w:szCs w:val="24"/>
        </w:rPr>
        <w:t xml:space="preserve">];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4"/>
        <w:numPr>
          <w:ilvl w:val="0"/>
          <w:numId w:val="42"/>
        </w:numPr>
        <w:ind w:left="0" w:firstLine="0"/>
        <w:spacing w:line="240" w:lineRule="auto"/>
        <w:widowControl w:val="off"/>
        <w:tabs>
          <w:tab w:val="left" w:pos="426" w:leader="none"/>
          <w:tab w:val="left" w:pos="851" w:leader="none"/>
          <w:tab w:val="left" w:pos="1134" w:leader="none"/>
          <w:tab w:val="left" w:pos="1560" w:leader="none"/>
          <w:tab w:val="left" w:pos="1701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копию независимой гарантии на участие в закупке</w:t>
      </w:r>
      <w:r>
        <w:rPr>
          <w:sz w:val="24"/>
          <w:szCs w:val="24"/>
        </w:rPr>
        <w:t xml:space="preserve">, либо копию платежного поручения с отметкой гаранта (вы</w:t>
      </w:r>
      <w:r>
        <w:rPr>
          <w:sz w:val="24"/>
          <w:szCs w:val="24"/>
        </w:rPr>
        <w:t xml:space="preserve">бор документа зависит от способа обеспечения);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5"/>
        <w:numPr>
          <w:ilvl w:val="0"/>
          <w:numId w:val="42"/>
        </w:numPr>
        <w:ind w:left="0" w:firstLine="0"/>
        <w:spacing w:line="240" w:lineRule="auto"/>
        <w:tabs>
          <w:tab w:val="left" w:pos="0" w:leader="none"/>
          <w:tab w:val="left" w:pos="426" w:leader="none"/>
        </w:tabs>
      </w:pPr>
      <w:r>
        <w:t xml:space="preserve">соглашение между лидером и членами коллективного участника, а также план </w:t>
      </w:r>
      <w:r>
        <w:t xml:space="preserve">распределения объемов выполняемых работ/оказываемых услуг/поставки товаров</w:t>
      </w:r>
      <w:r>
        <w:t xml:space="preserve"> между членами Коллективного участника по форме и в соответст</w:t>
      </w:r>
      <w:r>
        <w:t xml:space="preserve">вии с инструкциями, приведенными в настоящей Документации [</w:t>
      </w:r>
      <w:r>
        <w:rPr>
          <w:i/>
          <w:highlight w:val="lightGray"/>
        </w:rPr>
        <w:t xml:space="preserve">данная форма должна заполняться и предоставляться в случае, если участник подает заявку от имени коллективного участника</w:t>
      </w:r>
      <w:r>
        <w:t xml:space="preserve">];</w:t>
      </w:r>
      <w:r/>
    </w:p>
    <w:p>
      <w:pPr>
        <w:pStyle w:val="1265"/>
        <w:numPr>
          <w:ilvl w:val="0"/>
          <w:numId w:val="42"/>
        </w:numPr>
        <w:ind w:left="0" w:firstLine="0"/>
        <w:spacing w:line="240" w:lineRule="auto"/>
        <w:tabs>
          <w:tab w:val="left" w:pos="0" w:leader="none"/>
        </w:tabs>
      </w:pPr>
      <w:r>
        <w:t xml:space="preserve">документы на каждого члена коллективного участника в соответствии с п. 4.8</w:t>
      </w:r>
      <w:r>
        <w:t xml:space="preserve">. Документации [</w:t>
      </w:r>
      <w:r>
        <w:rPr>
          <w:i/>
          <w:highlight w:val="lightGray"/>
        </w:rPr>
        <w:t xml:space="preserve">документы предоставляются в случае, если участник подает заявку от имени коллективного участника</w:t>
      </w:r>
      <w:r>
        <w:t xml:space="preserve">];</w:t>
      </w:r>
      <w:r/>
    </w:p>
    <w:p>
      <w:pPr>
        <w:pStyle w:val="1265"/>
        <w:numPr>
          <w:ilvl w:val="0"/>
          <w:numId w:val="42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Копию устава в действующей редакции или ссылку на адрес в сети интернет, если такие сведения размещены в открытом доступе [</w:t>
      </w:r>
      <w:r>
        <w:rPr>
          <w:i/>
          <w:highlight w:val="lightGray"/>
        </w:rPr>
        <w:t xml:space="preserve">для индивидуальных</w:t>
      </w:r>
      <w:r>
        <w:rPr>
          <w:i/>
          <w:highlight w:val="lightGray"/>
        </w:rPr>
        <w:t xml:space="preserve"> предпринимателей данный документ предоставляется при наличии</w:t>
      </w:r>
      <w:r>
        <w:t xml:space="preserve">];</w:t>
      </w:r>
      <w:r/>
    </w:p>
    <w:p>
      <w:pPr>
        <w:pStyle w:val="1265"/>
        <w:numPr>
          <w:ilvl w:val="0"/>
          <w:numId w:val="42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Копию выписки из Единого государственного реестра юридических лиц (копию выписки </w:t>
      </w:r>
      <w:r>
        <w:t xml:space="preserve">из Единого государственного реестра для индивидуальных предпринимателей) с указанием сведений, что Участник не </w:t>
      </w:r>
      <w:r>
        <w:t xml:space="preserve">находится в состоянии реорганизации или ликвидации, выданной соответствующим подразделением Федеральной налоговой службы не ранее чем за 60 (шестьдесят) дней до срока окончания подачи заявок. </w:t>
      </w:r>
      <w:r>
        <w:t xml:space="preserve">Допускается предоставление выписки из ЕГРЮЛ/ЕГРИП в форме электр</w:t>
      </w:r>
      <w:r>
        <w:t xml:space="preserve">онного документа в соответствии со ст. 7 Федерального закона от 08.08.2001 № 129-ФЗ (ред. от 13.07.2015) «О государственной регистрации юридических лиц и индивидуальных предпринимателей» [</w:t>
      </w:r>
      <w:r>
        <w:rPr>
          <w:i/>
          <w:highlight w:val="lightGray"/>
        </w:rPr>
        <w:t xml:space="preserve">в случае отсутствия в составе заявки выписки из ЕГРЮЛ/ЕГРИП Организа</w:t>
      </w:r>
      <w:r>
        <w:rPr>
          <w:i/>
          <w:highlight w:val="lightGray"/>
        </w:rPr>
        <w:t xml:space="preserve">тор руководствуется сведениями об участнике, размещенными на сайте ФНС России: </w:t>
      </w:r>
      <w:r>
        <w:rPr>
          <w:i/>
          <w:highlight w:val="lightGray"/>
          <w:lang w:val="en-US"/>
        </w:rPr>
        <w:t xml:space="preserve">egrul</w:t>
      </w:r>
      <w:r>
        <w:rPr>
          <w:i/>
          <w:highlight w:val="lightGray"/>
        </w:rPr>
        <w:t xml:space="preserve">.</w:t>
      </w:r>
      <w:r>
        <w:rPr>
          <w:i/>
          <w:highlight w:val="lightGray"/>
          <w:lang w:val="en-US"/>
        </w:rPr>
        <w:t xml:space="preserve">nalog</w:t>
      </w:r>
      <w:r>
        <w:rPr>
          <w:i/>
          <w:highlight w:val="lightGray"/>
        </w:rPr>
        <w:t xml:space="preserve">.</w:t>
      </w:r>
      <w:r>
        <w:rPr>
          <w:i/>
          <w:highlight w:val="lightGray"/>
          <w:lang w:val="en-US"/>
        </w:rPr>
        <w:t xml:space="preserve">ru</w:t>
      </w:r>
      <w:r>
        <w:t xml:space="preserve">];</w:t>
      </w:r>
      <w:r/>
    </w:p>
    <w:p>
      <w:pPr>
        <w:pStyle w:val="1265"/>
        <w:numPr>
          <w:ilvl w:val="0"/>
          <w:numId w:val="42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Копии документов (приказов, протоколов собрания учредителей о назначении руководителя, и т.д.), подтверждающих полномочия лица, подписавшего Заявку. Если Заявка</w:t>
      </w:r>
      <w:r>
        <w:t xml:space="preserve"> подписывается по доверенности, предоставляется копия доверенности, выданной на бумажном носителе, </w:t>
      </w:r>
      <w:r>
        <w:rPr>
          <w:shd w:val="clear" w:color="auto" w:fill="ffffff"/>
        </w:rPr>
        <w:t xml:space="preserve">либо информацию о машиночитаемой доверенности (уникальный номер доверенности, ИНН доверителя, ИНН представителя и пароль (в случае необходимости)), позволяющ</w:t>
      </w:r>
      <w:r>
        <w:rPr>
          <w:shd w:val="clear" w:color="auto" w:fill="ffffff"/>
        </w:rPr>
        <w:t xml:space="preserve">ую осуществить ее проверку в  Едином </w:t>
      </w:r>
      <w:r>
        <w:rPr>
          <w:shd w:val="clear" w:color="auto" w:fill="ffffff"/>
        </w:rPr>
        <w:t xml:space="preserve">блокчейн</w:t>
      </w:r>
      <w:r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6" w:tooltip="https://m4d.nalog.gov.ru" w:history="1">
        <w:r>
          <w:rPr>
            <w:rStyle w:val="1140"/>
            <w:shd w:val="clear" w:color="auto" w:fill="ffffff"/>
          </w:rPr>
          <w:t xml:space="preserve">https://m4d.nalog.gov.ru</w:t>
        </w:r>
      </w:hyperlink>
      <w:r>
        <w:rPr>
          <w:shd w:val="clear" w:color="auto" w:fill="ffffff"/>
        </w:rPr>
        <w:t xml:space="preserve">).</w:t>
      </w:r>
      <w:r>
        <w:t xml:space="preserve">;</w:t>
      </w:r>
      <w:r/>
    </w:p>
    <w:p>
      <w:pPr>
        <w:pStyle w:val="1265"/>
        <w:numPr>
          <w:ilvl w:val="0"/>
          <w:numId w:val="42"/>
        </w:numPr>
        <w:ind w:left="0" w:firstLine="0"/>
        <w:spacing w:line="240" w:lineRule="auto"/>
        <w:tabs>
          <w:tab w:val="left" w:pos="0" w:leader="none"/>
        </w:tabs>
      </w:pPr>
      <w:r>
        <w:t xml:space="preserve">Копию справки о состоянии зад</w:t>
      </w:r>
      <w:r>
        <w:t xml:space="preserve">олженности по уплате налогов и других обязательных платежей по актуальной форме, утвержденной приказом ФНС России (код по КНД 1120101), выданную соответствующими подразделениями ФНС не ранее чем за 3 месяца до срока окончания приема заявок. Справка может б</w:t>
      </w:r>
      <w:r>
        <w:t xml:space="preserve">ыть представлена в следующих формах:</w:t>
      </w:r>
      <w:r/>
    </w:p>
    <w:p>
      <w:pPr>
        <w:pStyle w:val="1265"/>
        <w:ind w:firstLine="0"/>
        <w:spacing w:line="240" w:lineRule="auto"/>
        <w:tabs>
          <w:tab w:val="left" w:pos="0" w:leader="none"/>
        </w:tabs>
      </w:pPr>
      <w:r>
        <w:t xml:space="preserve">- в ф</w:t>
      </w:r>
      <w:r>
        <w:t xml:space="preserve">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 При этом участник прикладывает архив, содержащий саму справку и файл, содержащий сведения о подписи;</w:t>
      </w:r>
      <w:r/>
    </w:p>
    <w:p>
      <w:pPr>
        <w:spacing w:after="0"/>
        <w:widowControl w:val="off"/>
      </w:pPr>
      <w:r>
        <w:t xml:space="preserve">- в форме электронного документа, выгруженного через ЭДО с нанесенными на него сведениями о цифровой подписи налогового органа и о цифровой подписи Участника;</w:t>
      </w:r>
      <w:r/>
    </w:p>
    <w:p>
      <w:pPr>
        <w:spacing w:after="0"/>
        <w:widowControl w:val="off"/>
      </w:pPr>
      <w:r>
        <w:t xml:space="preserve">- в форме электронного документа, выгруженного через ЭДО в формате «.</w:t>
      </w:r>
      <w:r>
        <w:rPr>
          <w:lang w:val="en-US"/>
        </w:rPr>
        <w:t xml:space="preserve">pdf</w:t>
      </w:r>
      <w:r>
        <w:t xml:space="preserve">» без сведений о цифрово</w:t>
      </w:r>
      <w:r>
        <w:t xml:space="preserve">й подписи налогового органа и о цифровой подписи Участника (с указанием номера и даты документа);</w:t>
      </w:r>
      <w:r/>
    </w:p>
    <w:p>
      <w:pPr>
        <w:spacing w:after="0"/>
        <w:widowControl w:val="off"/>
      </w:pPr>
      <w:r>
        <w:t xml:space="preserve">- в форме копии с круглой печатью соответствующего подразделения ФНС, выдавшего справку.</w:t>
      </w:r>
      <w:r/>
    </w:p>
    <w:p>
      <w:pPr>
        <w:pStyle w:val="1265"/>
        <w:ind w:firstLine="0"/>
        <w:spacing w:line="240" w:lineRule="auto"/>
        <w:tabs>
          <w:tab w:val="left" w:pos="0" w:leader="none"/>
        </w:tabs>
      </w:pPr>
      <w:r>
        <w:t xml:space="preserve">В случае наличия задолженности участник также должен предоставить спр</w:t>
      </w:r>
      <w:r>
        <w:t xml:space="preserve">авку </w:t>
      </w:r>
      <w:r>
        <w:t xml:space="preserve">в произвольной форме с указанием размера такой задолженности в процентах по отношению к стоимости</w:t>
      </w:r>
      <w:r>
        <w:t xml:space="preserve"> чистых активов Участника закупки.</w:t>
      </w:r>
      <w:r/>
    </w:p>
    <w:p>
      <w:pPr>
        <w:pStyle w:val="1265"/>
        <w:numPr>
          <w:ilvl w:val="0"/>
          <w:numId w:val="42"/>
        </w:numPr>
        <w:ind w:left="0" w:firstLine="0"/>
        <w:spacing w:line="240" w:lineRule="auto"/>
        <w:tabs>
          <w:tab w:val="left" w:pos="0" w:leader="none"/>
        </w:tabs>
        <w:rPr>
          <w:i/>
          <w:highlight w:val="lightGray"/>
        </w:rPr>
      </w:pPr>
      <w:r>
        <w:t xml:space="preserve">Копии разрешающих документов на виды деятельности, связанные с выполнением Договора, вместе с приложениями, описывающим</w:t>
      </w:r>
      <w:r>
        <w:t xml:space="preserve">и конкретные виды деятельности, на которые у Участника закупки есть разрешающие документы в соответствии Приложением № 1 «Техническое задание» к настоящей Документации. В случае отсутствия приложения к разрешающему документу и / или размещение в составе за</w:t>
      </w:r>
      <w:r>
        <w:t xml:space="preserve">явки приложения не в полном объеме заявка участника подлежит отклонению </w:t>
      </w:r>
      <w:r>
        <w:rPr>
          <w:i/>
          <w:highlight w:val="lightGray"/>
        </w:rPr>
        <w:t xml:space="preserve">[при закупках на поставку ТМЦ</w:t>
      </w:r>
      <w:r>
        <w:rPr>
          <w:highlight w:val="lightGray"/>
        </w:rPr>
        <w:t xml:space="preserve"> </w:t>
      </w:r>
      <w:r>
        <w:rPr>
          <w:i/>
          <w:highlight w:val="lightGray"/>
        </w:rPr>
        <w:t xml:space="preserve">данное требование применяется в случае наличия в техническом задании дополнительных услуг: </w:t>
      </w:r>
      <w:r>
        <w:rPr>
          <w:i/>
          <w:highlight w:val="lightGray"/>
        </w:rPr>
        <w:t xml:space="preserve">шеф-монтаж</w:t>
      </w:r>
      <w:r>
        <w:rPr>
          <w:i/>
          <w:highlight w:val="lightGray"/>
        </w:rPr>
        <w:t xml:space="preserve">/надзор и т. п.]</w:t>
      </w:r>
      <w:r>
        <w:rPr>
          <w:i/>
        </w:rPr>
        <w:t xml:space="preserve">.</w:t>
      </w:r>
      <w:r>
        <w:rPr>
          <w:i/>
          <w:highlight w:val="lightGray"/>
        </w:rPr>
        <w:t xml:space="preserve"> </w:t>
      </w:r>
      <w:r>
        <w:rPr>
          <w:i/>
          <w:highlight w:val="lightGray"/>
        </w:rPr>
      </w:r>
      <w:r>
        <w:rPr>
          <w:i/>
          <w:highlight w:val="lightGray"/>
        </w:rPr>
      </w:r>
    </w:p>
    <w:p>
      <w:pPr>
        <w:spacing w:after="0"/>
        <w:widowControl w:val="off"/>
        <w:rPr>
          <w:i/>
        </w:rPr>
      </w:pPr>
      <w:r>
        <w:t xml:space="preserve">14</w:t>
      </w:r>
      <w:r>
        <w:t xml:space="preserve">) копии документов, подтверждающих соответствие товара, являющегося предметом закупки, требованиям, указанным в п. 2.3. Приложения № 2 к Техническому заданию (Приложение № 1 к Документации о закупке) </w:t>
      </w:r>
      <w:r>
        <w:rPr>
          <w:i/>
        </w:rPr>
        <w:t xml:space="preserve">«Общие технические требования к поставляемой продукции».</w:t>
      </w:r>
      <w:r>
        <w:rPr>
          <w:i/>
        </w:rPr>
      </w:r>
      <w:r>
        <w:rPr>
          <w:i/>
        </w:rPr>
      </w:r>
    </w:p>
    <w:p>
      <w:pPr>
        <w:pStyle w:val="1233"/>
        <w:numPr>
          <w:ilvl w:val="0"/>
          <w:numId w:val="43"/>
        </w:numPr>
        <w:ind w:left="0" w:firstLine="0"/>
        <w:jc w:val="both"/>
        <w:widowControl w:val="off"/>
        <w:tabs>
          <w:tab w:val="left" w:pos="0" w:leader="none"/>
          <w:tab w:val="left" w:pos="851" w:leader="none"/>
          <w:tab w:val="left" w:pos="1276" w:leader="none"/>
        </w:tabs>
      </w:pPr>
      <w:r>
        <w:t xml:space="preserve"> Согласие на обработку персональных данных по форме и в соответствии с инструкциями, приведенными в настоящей Документации.</w:t>
      </w:r>
      <w:r/>
    </w:p>
    <w:p>
      <w:pPr>
        <w:pStyle w:val="1233"/>
        <w:numPr>
          <w:ilvl w:val="0"/>
          <w:numId w:val="43"/>
        </w:numPr>
        <w:ind w:left="0" w:firstLine="0"/>
        <w:jc w:val="both"/>
        <w:widowControl w:val="off"/>
        <w:tabs>
          <w:tab w:val="left" w:pos="709" w:leader="none"/>
          <w:tab w:val="left" w:pos="851" w:leader="none"/>
          <w:tab w:val="left" w:pos="1276" w:leader="none"/>
        </w:tabs>
      </w:pPr>
      <w:r>
        <w:t xml:space="preserve"> Справку о наличии/отсутствии конфликта интересов и/или связей, носящих характер </w:t>
      </w:r>
      <w:r>
        <w:t xml:space="preserve">аффилированности</w:t>
      </w:r>
      <w:r>
        <w:t xml:space="preserve"> с работниками ПАО «</w:t>
      </w:r>
      <w:r>
        <w:t xml:space="preserve">Россети</w:t>
      </w:r>
      <w:r>
        <w:t xml:space="preserve">» и ДО </w:t>
      </w:r>
      <w:r>
        <w:t xml:space="preserve">ПАО «</w:t>
      </w:r>
      <w:r>
        <w:t xml:space="preserve">Россети</w:t>
      </w:r>
      <w:r>
        <w:t xml:space="preserve">»;</w:t>
      </w:r>
      <w:r/>
    </w:p>
    <w:p>
      <w:pPr>
        <w:pStyle w:val="1233"/>
        <w:numPr>
          <w:ilvl w:val="0"/>
          <w:numId w:val="43"/>
        </w:numPr>
        <w:ind w:left="0" w:firstLine="0"/>
        <w:jc w:val="both"/>
        <w:widowControl w:val="off"/>
        <w:tabs>
          <w:tab w:val="left" w:pos="709" w:leader="none"/>
          <w:tab w:val="left" w:pos="851" w:leader="none"/>
          <w:tab w:val="left" w:pos="1276" w:leader="none"/>
        </w:tabs>
      </w:pPr>
      <w:r>
        <w:t xml:space="preserve">Анкету Участника закупки, по форме и в соответствии с инструкциями, приведенными в настоящей Документации.</w:t>
      </w:r>
      <w:r/>
    </w:p>
    <w:p>
      <w:pPr>
        <w:pStyle w:val="1233"/>
        <w:ind w:left="0"/>
        <w:jc w:val="both"/>
        <w:shd w:val="clear" w:color="auto" w:fill="ffffff"/>
        <w:widowControl w:val="off"/>
      </w:pPr>
      <w:r/>
      <w:r/>
    </w:p>
    <w:p>
      <w:pPr>
        <w:pStyle w:val="1265"/>
        <w:numPr>
          <w:ilvl w:val="2"/>
          <w:numId w:val="39"/>
        </w:numPr>
        <w:ind w:left="0" w:firstLine="0"/>
        <w:spacing w:line="240" w:lineRule="auto"/>
        <w:tabs>
          <w:tab w:val="left" w:pos="0" w:leader="none"/>
          <w:tab w:val="left" w:pos="993" w:leader="none"/>
        </w:tabs>
      </w:pPr>
      <w:r>
        <w:t xml:space="preserve">В составе заявки Участник должен </w:t>
      </w:r>
      <w:r>
        <w:t xml:space="preserve">предоставить следующие документы</w:t>
      </w:r>
      <w:r>
        <w:t xml:space="preserve">, за </w:t>
      </w:r>
      <w:r>
        <w:t xml:space="preserve">непредоставление</w:t>
      </w:r>
      <w:r>
        <w:t xml:space="preserve"> которых заявка Участника </w:t>
      </w:r>
      <w:r>
        <w:rPr>
          <w:b/>
          <w:u w:val="single"/>
        </w:rPr>
        <w:t xml:space="preserve">не отклоняется</w:t>
      </w:r>
      <w:r>
        <w:t xml:space="preserve"> по осн</w:t>
      </w:r>
      <w:r>
        <w:t xml:space="preserve">ованиям, указанным в п. </w:t>
      </w:r>
      <w:r>
        <w:t xml:space="preserve">2.11.2.7. Документации:</w:t>
      </w:r>
      <w:r/>
    </w:p>
    <w:p>
      <w:pPr>
        <w:pStyle w:val="1265"/>
        <w:numPr>
          <w:ilvl w:val="0"/>
          <w:numId w:val="24"/>
        </w:numPr>
        <w:ind w:left="0" w:firstLine="0"/>
        <w:spacing w:line="240" w:lineRule="auto"/>
        <w:tabs>
          <w:tab w:val="left" w:pos="426" w:leader="none"/>
        </w:tabs>
      </w:pPr>
      <w:r>
        <w:t xml:space="preserve">опись документов, входящих в заявку;</w:t>
      </w:r>
      <w:r/>
    </w:p>
    <w:p>
      <w:pPr>
        <w:pStyle w:val="1265"/>
        <w:numPr>
          <w:ilvl w:val="0"/>
          <w:numId w:val="24"/>
        </w:numPr>
        <w:ind w:left="0" w:firstLine="0"/>
        <w:spacing w:line="240" w:lineRule="auto"/>
        <w:tabs>
          <w:tab w:val="left" w:pos="426" w:leader="none"/>
          <w:tab w:val="left" w:pos="851" w:leader="none"/>
        </w:tabs>
      </w:pPr>
      <w:r>
        <w:t xml:space="preserve">справку о перечне и годовых объемах выполнения аналогичных договоров по форме и в соответствии с инструкциями, приведенными в настоящей Документации, за последние 3 (три) года </w:t>
      </w:r>
      <w:r>
        <w:rPr>
          <w:i/>
          <w:highlight w:val="lightGray"/>
        </w:rPr>
        <w:t xml:space="preserve">[данная форма предоставляется участником, если требование о предоставлении данно</w:t>
      </w:r>
      <w:r>
        <w:rPr>
          <w:i/>
          <w:highlight w:val="lightGray"/>
        </w:rPr>
        <w:t xml:space="preserve">й формы указано в Приложении № 1 «Техническое задание» для проведения балльной оценки];</w:t>
      </w:r>
      <w:r/>
    </w:p>
    <w:p>
      <w:pPr>
        <w:pStyle w:val="1265"/>
        <w:numPr>
          <w:ilvl w:val="0"/>
          <w:numId w:val="24"/>
        </w:numPr>
        <w:ind w:left="0" w:firstLine="0"/>
        <w:spacing w:line="240" w:lineRule="auto"/>
        <w:tabs>
          <w:tab w:val="left" w:pos="426" w:leader="none"/>
          <w:tab w:val="left" w:pos="851" w:leader="none"/>
        </w:tabs>
      </w:pPr>
      <w:r>
        <w:t xml:space="preserve">справку о материально-технических ресурсах по форме и в соответствии с инструкциями, приведенными в настоящей Документации </w:t>
      </w:r>
      <w:r>
        <w:rPr>
          <w:i/>
          <w:highlight w:val="lightGray"/>
        </w:rPr>
        <w:t xml:space="preserve">[данная форма предоставляется участником, есл</w:t>
      </w:r>
      <w:r>
        <w:rPr>
          <w:i/>
          <w:highlight w:val="lightGray"/>
        </w:rPr>
        <w:t xml:space="preserve">и требование о предоставлении данной формы указано в Приложении №1 «Техническое задание» для проведения балльной оценки]</w:t>
      </w:r>
      <w:r>
        <w:t xml:space="preserve">;</w:t>
      </w:r>
      <w:r/>
    </w:p>
    <w:p>
      <w:pPr>
        <w:pStyle w:val="1262"/>
        <w:numPr>
          <w:ilvl w:val="0"/>
          <w:numId w:val="24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справку о кадровых ресурсах по форме и в соответствии с инструкциями, приведенными в настоящей Документации </w:t>
      </w:r>
      <w:r>
        <w:rPr>
          <w:i/>
          <w:szCs w:val="24"/>
          <w:highlight w:val="lightGray"/>
        </w:rPr>
        <w:t xml:space="preserve">[данная форма предоставляе</w:t>
      </w:r>
      <w:r>
        <w:rPr>
          <w:i/>
          <w:szCs w:val="24"/>
          <w:highlight w:val="lightGray"/>
        </w:rPr>
        <w:t xml:space="preserve">тся участником, 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i/>
          <w:szCs w:val="24"/>
        </w:rPr>
        <w:t xml:space="preserve">]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24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справку о срывах сроков поставки товарно-материальных ценностей участником закупки по заключенным с ПАО «</w:t>
      </w:r>
      <w:r>
        <w:rPr>
          <w:szCs w:val="24"/>
        </w:rPr>
        <w:t xml:space="preserve">Россети</w:t>
      </w:r>
      <w:r>
        <w:rPr>
          <w:szCs w:val="24"/>
        </w:rPr>
        <w:t xml:space="preserve"> Мо</w:t>
      </w:r>
      <w:r>
        <w:rPr>
          <w:szCs w:val="24"/>
        </w:rPr>
        <w:t xml:space="preserve">сковский регион» договорам поставки по форме и в соответствии с инструкциями, приведенными в настоящей Документации;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24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аудиторское заключение за последние 2 года [</w:t>
      </w:r>
      <w:r>
        <w:rPr>
          <w:i/>
          <w:szCs w:val="24"/>
          <w:highlight w:val="lightGray"/>
        </w:rPr>
        <w:t xml:space="preserve">данный документ предоставляется в случае наличия соответствующего критерия оценки по финансовой</w:t>
      </w:r>
      <w:r>
        <w:rPr>
          <w:i/>
          <w:szCs w:val="24"/>
          <w:highlight w:val="lightGray"/>
        </w:rPr>
        <w:t xml:space="preserve"> устойчивости в техническом задании</w:t>
      </w:r>
      <w:r>
        <w:rPr>
          <w:szCs w:val="24"/>
        </w:rPr>
        <w:t xml:space="preserve">];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24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копию годовой бухгалтерской отчетности за последний отчетный год и квартальной отчетности на последнюю отчетную дату (при наличии) с отметкой инспекции Федеральной налоговой службы в соответствии с Федеральным законом </w:t>
      </w:r>
      <w:r>
        <w:rPr>
          <w:szCs w:val="24"/>
        </w:rPr>
        <w:t xml:space="preserve">от 06.12.11 № 402-ФЗ «О бухгалтерском учете», Положением по бухгалтерскому учету «Бухгалтерская отчетность организации» ПБУ 4/99, утвержденным Приказом Минфина России от 06.07.1999 № 43н.</w:t>
      </w:r>
      <w:r>
        <w:rPr>
          <w:szCs w:val="24"/>
        </w:rPr>
      </w:r>
      <w:r>
        <w:rPr>
          <w:szCs w:val="24"/>
        </w:rPr>
      </w:r>
    </w:p>
    <w:p>
      <w:pPr>
        <w:pStyle w:val="1276"/>
        <w:tabs>
          <w:tab w:val="left" w:pos="426" w:leader="none"/>
        </w:tabs>
        <w:rPr>
          <w:sz w:val="24"/>
          <w:u w:val="single"/>
        </w:rPr>
      </w:pPr>
      <w:r>
        <w:rPr>
          <w:sz w:val="24"/>
          <w:u w:val="single"/>
        </w:rPr>
        <w:t xml:space="preserve">Для упрощенной системы налогообложения:</w:t>
      </w:r>
      <w:r>
        <w:rPr>
          <w:sz w:val="24"/>
          <w:u w:val="single"/>
        </w:rPr>
      </w:r>
      <w:r>
        <w:rPr>
          <w:sz w:val="24"/>
          <w:u w:val="single"/>
        </w:rPr>
      </w:r>
    </w:p>
    <w:p>
      <w:pPr>
        <w:pStyle w:val="1276"/>
        <w:tabs>
          <w:tab w:val="left" w:pos="426" w:leader="none"/>
        </w:tabs>
        <w:rPr>
          <w:sz w:val="24"/>
        </w:rPr>
      </w:pPr>
      <w:r>
        <w:rPr>
          <w:sz w:val="24"/>
        </w:rPr>
        <w:t xml:space="preserve">- копию Налоговой </w:t>
      </w:r>
      <w:hyperlink r:id="rId17" w:tooltip="consultantplus://offline/main?base=LAW;n=115717;fld=134;dst=100014" w:history="1">
        <w:r>
          <w:rPr>
            <w:sz w:val="24"/>
          </w:rPr>
          <w:t xml:space="preserve">декларации</w:t>
        </w:r>
      </w:hyperlink>
      <w:r>
        <w:rPr>
          <w:sz w:val="24"/>
        </w:rPr>
        <w:t xml:space="preserve"> по налогу, уплачиваемому в связи с применением упрощенной системы налогообложения, за последний отче</w:t>
      </w:r>
      <w:r>
        <w:rPr>
          <w:sz w:val="24"/>
        </w:rPr>
        <w:t xml:space="preserve">тный год с отметкой инспекции Федеральной налоговой службы в соответствии с Федеральным Законом от 06.12.11 № 402-ФЗ «О бухгалтерском учете», Положением по бухгалтерскому учету «Бухгалтерская отчетность организации» ПБУ 4/99, утвержденным Приказом Минфина </w:t>
      </w:r>
      <w:r>
        <w:rPr>
          <w:sz w:val="24"/>
        </w:rPr>
        <w:t xml:space="preserve">России от 06.07.1999 № 43н.</w:t>
      </w:r>
      <w:r>
        <w:rPr>
          <w:sz w:val="24"/>
        </w:rPr>
      </w:r>
      <w:r>
        <w:rPr>
          <w:sz w:val="24"/>
        </w:rPr>
      </w:r>
    </w:p>
    <w:p>
      <w:pPr>
        <w:pStyle w:val="1262"/>
        <w:ind w:firstLine="0"/>
        <w:widowControl w:val="off"/>
        <w:tabs>
          <w:tab w:val="left" w:pos="426" w:leader="none"/>
        </w:tabs>
        <w:rPr>
          <w:szCs w:val="24"/>
        </w:rPr>
      </w:pPr>
      <w:r>
        <w:rPr>
          <w:szCs w:val="24"/>
          <w:u w:val="single"/>
        </w:rPr>
        <w:t xml:space="preserve">Для индивидуальных предпринимателей:</w:t>
      </w:r>
      <w:r>
        <w:rPr>
          <w:szCs w:val="24"/>
        </w:rPr>
        <w:t xml:space="preserve"> </w:t>
      </w:r>
      <w:r>
        <w:rPr>
          <w:szCs w:val="24"/>
        </w:rPr>
      </w:r>
      <w:r>
        <w:rPr>
          <w:szCs w:val="24"/>
        </w:rPr>
      </w:r>
    </w:p>
    <w:p>
      <w:pPr>
        <w:pStyle w:val="1262"/>
        <w:ind w:firstLine="0"/>
        <w:widowControl w:val="off"/>
        <w:tabs>
          <w:tab w:val="left" w:pos="426" w:leader="none"/>
        </w:tabs>
        <w:rPr>
          <w:szCs w:val="24"/>
        </w:rPr>
      </w:pPr>
      <w:r>
        <w:rPr>
          <w:szCs w:val="24"/>
        </w:rPr>
        <w:t xml:space="preserve">- документы в соответствии с законодательством, </w:t>
      </w:r>
      <w:r>
        <w:rPr>
          <w:szCs w:val="24"/>
        </w:rPr>
        <w:t xml:space="preserve">аналогичные</w:t>
      </w:r>
      <w:r>
        <w:rPr>
          <w:szCs w:val="24"/>
        </w:rPr>
        <w:t xml:space="preserve"> по сути и содержанию вышеуказанным; 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24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копию расчета сумм налога на доходы физических лиц, исчисленных и удержанных налоговым агенто</w:t>
      </w:r>
      <w:r>
        <w:rPr>
          <w:szCs w:val="24"/>
        </w:rPr>
        <w:t xml:space="preserve">м (форма 6-НДФЛ) за последний отчетный налоговый период (квартал) с приложением квитанции о приеме налоговой декларации в электронном виде или отметкой налогового органа;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0"/>
          <w:numId w:val="24"/>
        </w:numPr>
        <w:ind w:left="0" w:firstLine="0"/>
        <w:widowControl w:val="off"/>
        <w:tabs>
          <w:tab w:val="left" w:pos="426" w:leader="none"/>
          <w:tab w:val="left" w:pos="851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иные документы, которые, по мнению Участника Запроса предложений, подтверждают его со</w:t>
      </w:r>
      <w:r>
        <w:rPr>
          <w:szCs w:val="24"/>
        </w:rPr>
        <w:t xml:space="preserve">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szCs w:val="24"/>
        </w:rPr>
      </w:r>
      <w:r>
        <w:rPr>
          <w:szCs w:val="24"/>
        </w:rPr>
      </w:r>
    </w:p>
    <w:p>
      <w:pPr>
        <w:pStyle w:val="1262"/>
        <w:ind w:firstLine="0"/>
        <w:widowControl w:val="off"/>
        <w:tabs>
          <w:tab w:val="left" w:pos="42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265"/>
        <w:numPr>
          <w:ilvl w:val="2"/>
          <w:numId w:val="39"/>
        </w:numPr>
        <w:ind w:left="0" w:firstLine="0"/>
        <w:spacing w:line="240" w:lineRule="auto"/>
        <w:tabs>
          <w:tab w:val="left" w:pos="142" w:leader="none"/>
          <w:tab w:val="left" w:pos="993" w:leader="none"/>
        </w:tabs>
      </w:pPr>
      <w:r>
        <w:t xml:space="preserve">Перечень документов, необходимых для предоставления Участником в составе заявки в соответствии с условиями, указанными в Техническом</w:t>
      </w:r>
      <w:r>
        <w:t xml:space="preserve"> задании – Приложение №1 к настоящей Документации, за </w:t>
      </w:r>
      <w:r>
        <w:t xml:space="preserve">непредоставление</w:t>
      </w:r>
      <w:r>
        <w:t xml:space="preserve"> которых заявка Участника </w:t>
      </w:r>
      <w:r>
        <w:rPr>
          <w:b/>
          <w:u w:val="single"/>
        </w:rPr>
        <w:t xml:space="preserve">отклоняется </w:t>
      </w:r>
      <w:r>
        <w:t xml:space="preserve">по основаниям, указанным в п. 2.11.2.7. Документации:</w:t>
      </w:r>
      <w:r/>
    </w:p>
    <w:p>
      <w:pPr>
        <w:pStyle w:val="1262"/>
        <w:numPr>
          <w:ilvl w:val="0"/>
          <w:numId w:val="41"/>
        </w:numPr>
        <w:ind w:left="0" w:firstLine="0"/>
        <w:widowControl w:val="off"/>
        <w:tabs>
          <w:tab w:val="left" w:pos="142" w:leader="none"/>
          <w:tab w:val="left" w:pos="426" w:leader="none"/>
        </w:tabs>
        <w:rPr>
          <w:szCs w:val="24"/>
        </w:rPr>
      </w:pPr>
      <w:r>
        <w:rPr>
          <w:szCs w:val="24"/>
        </w:rPr>
        <w:t xml:space="preserve">документы по охране труда в соответствии с перечнем Регламента допуска персонала организаций для выполнения работ на объектах ПАО «</w:t>
      </w:r>
      <w:r>
        <w:rPr>
          <w:szCs w:val="24"/>
        </w:rPr>
        <w:t xml:space="preserve">Россети</w:t>
      </w:r>
      <w:r>
        <w:rPr>
          <w:szCs w:val="24"/>
        </w:rPr>
        <w:t xml:space="preserve"> Московский регион» (Приложение № 7 к настоящей Документации) (</w:t>
      </w:r>
      <w:r>
        <w:rPr>
          <w:b/>
          <w:szCs w:val="24"/>
        </w:rPr>
        <w:t xml:space="preserve">при наличии данного требования в Техническом задании – </w:t>
      </w:r>
      <w:r>
        <w:rPr>
          <w:b/>
          <w:szCs w:val="24"/>
        </w:rPr>
        <w:t xml:space="preserve">Приложение №1 к настоящей Документации</w:t>
      </w:r>
      <w:r>
        <w:rPr>
          <w:szCs w:val="24"/>
        </w:rPr>
        <w:t xml:space="preserve">) </w:t>
      </w:r>
      <w:r>
        <w:rPr>
          <w:szCs w:val="24"/>
          <w:highlight w:val="lightGray"/>
        </w:rPr>
        <w:t xml:space="preserve">(</w:t>
      </w:r>
      <w:r>
        <w:rPr>
          <w:i/>
          <w:szCs w:val="24"/>
          <w:highlight w:val="lightGray"/>
        </w:rPr>
        <w:t xml:space="preserve">при закупках на поставку ТМЦ</w:t>
      </w:r>
      <w:r>
        <w:rPr>
          <w:szCs w:val="24"/>
          <w:highlight w:val="lightGray"/>
        </w:rPr>
        <w:t xml:space="preserve"> </w:t>
      </w:r>
      <w:r>
        <w:rPr>
          <w:i/>
          <w:szCs w:val="24"/>
          <w:highlight w:val="lightGray"/>
        </w:rPr>
        <w:t xml:space="preserve">данное требование применяется в случае наличия в техническом задании дополнительных услуг: шеф-монтаж/надзор и т. п.)</w:t>
      </w:r>
      <w:r>
        <w:rPr>
          <w:szCs w:val="24"/>
        </w:rPr>
        <w:t xml:space="preserve">;</w:t>
      </w:r>
      <w:r>
        <w:rPr>
          <w:szCs w:val="24"/>
        </w:rPr>
      </w:r>
      <w:r>
        <w:rPr>
          <w:szCs w:val="24"/>
        </w:rPr>
      </w:r>
    </w:p>
    <w:p>
      <w:pPr>
        <w:pStyle w:val="1262"/>
        <w:ind w:firstLine="0"/>
        <w:widowControl w:val="off"/>
        <w:tabs>
          <w:tab w:val="left" w:pos="426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265"/>
        <w:numPr>
          <w:ilvl w:val="2"/>
          <w:numId w:val="39"/>
        </w:numPr>
        <w:ind w:left="0" w:firstLine="0"/>
        <w:spacing w:line="240" w:lineRule="auto"/>
        <w:tabs>
          <w:tab w:val="left" w:pos="0" w:leader="none"/>
          <w:tab w:val="left" w:pos="851" w:leader="none"/>
        </w:tabs>
      </w:pPr>
      <w:r>
        <w:t xml:space="preserve">В случае если по каким-либо причинам Участник Запроса предложений </w:t>
      </w:r>
      <w:r>
        <w:t xml:space="preserve">не может </w:t>
      </w:r>
      <w:r>
        <w:t xml:space="preserve">предоставить требуемый документ</w:t>
      </w:r>
      <w:r>
        <w:t xml:space="preserve"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данному требованию. У</w:t>
      </w:r>
      <w:r>
        <w:t xml:space="preserve">частник закупки должен принять во внимание, что закупочная комиссия вправе принять решение об отклонении заявки участника при отсутствии требуемого документа, даже при наличии пояснения </w:t>
      </w:r>
      <w:r>
        <w:t xml:space="preserve">о</w:t>
      </w:r>
      <w:r>
        <w:t xml:space="preserve"> </w:t>
      </w:r>
      <w:r>
        <w:t xml:space="preserve">его</w:t>
      </w:r>
      <w:r>
        <w:t xml:space="preserve"> </w:t>
      </w:r>
      <w:r>
        <w:t xml:space="preserve">непредоставлении</w:t>
      </w:r>
      <w:r>
        <w:t xml:space="preserve">.</w:t>
      </w:r>
      <w:r/>
    </w:p>
    <w:p>
      <w:pPr>
        <w:pStyle w:val="1262"/>
        <w:ind w:firstLine="0"/>
        <w:widowControl w:val="off"/>
        <w:tabs>
          <w:tab w:val="left" w:pos="993" w:leader="none"/>
        </w:tabs>
        <w:rPr>
          <w:szCs w:val="24"/>
        </w:rPr>
      </w:pPr>
      <w:r>
        <w:rPr>
          <w:szCs w:val="24"/>
        </w:rPr>
        <w:t xml:space="preserve">В случае участия в запросе предложений иностра</w:t>
      </w:r>
      <w:r>
        <w:rPr>
          <w:szCs w:val="24"/>
        </w:rPr>
        <w:t xml:space="preserve">нной организации, такой участник </w:t>
      </w:r>
      <w:r>
        <w:rPr>
          <w:szCs w:val="24"/>
        </w:rPr>
        <w:t xml:space="preserve">предоставляет аналогичные документы</w:t>
      </w:r>
      <w:r>
        <w:rPr>
          <w:szCs w:val="24"/>
        </w:rPr>
        <w:t xml:space="preserve">. Такие документы должны быть переведены на русский язык и </w:t>
      </w:r>
      <w:r>
        <w:rPr>
          <w:szCs w:val="24"/>
        </w:rPr>
        <w:t xml:space="preserve">апостилированы</w:t>
      </w:r>
      <w:r>
        <w:rPr>
          <w:szCs w:val="24"/>
        </w:rPr>
        <w:t xml:space="preserve">, в противном случае Комиссия вправе не рассматривать документы Участника.</w:t>
      </w:r>
      <w:r>
        <w:rPr>
          <w:szCs w:val="24"/>
        </w:rPr>
      </w:r>
      <w:r>
        <w:rPr>
          <w:szCs w:val="24"/>
        </w:rPr>
      </w:r>
    </w:p>
    <w:p>
      <w:pPr>
        <w:pStyle w:val="1262"/>
        <w:ind w:firstLine="0"/>
        <w:widowControl w:val="off"/>
        <w:tabs>
          <w:tab w:val="left" w:pos="993" w:leader="none"/>
          <w:tab w:val="left" w:pos="1620" w:leader="none"/>
        </w:tabs>
        <w:rPr>
          <w:szCs w:val="24"/>
        </w:rPr>
      </w:pPr>
      <w:r>
        <w:rPr>
          <w:b/>
          <w:szCs w:val="24"/>
        </w:rPr>
        <w:t xml:space="preserve">Все требуемые документы в соответствии с условиями настоящей Документации должны быть предоставлены Участником Запроса предложений на ЭТП в доступном для прочтения формате (предпочтительнее формат *.</w:t>
      </w:r>
      <w:r>
        <w:rPr>
          <w:b/>
          <w:szCs w:val="24"/>
        </w:rPr>
        <w:t xml:space="preserve">pdf</w:t>
      </w:r>
      <w:r>
        <w:rPr>
          <w:b/>
          <w:szCs w:val="24"/>
        </w:rPr>
        <w:t xml:space="preserve">, формат: один файл – один документ).</w:t>
      </w:r>
      <w:r>
        <w:rPr>
          <w:szCs w:val="24"/>
        </w:rPr>
        <w:t xml:space="preserve"> Файлы должны быт</w:t>
      </w:r>
      <w:r>
        <w:rPr>
          <w:szCs w:val="24"/>
        </w:rPr>
        <w:t xml:space="preserve">ь именованы так, чтобы из их названия было понятно какой документ в каком файле располагается. </w:t>
      </w:r>
      <w:r>
        <w:rPr>
          <w:szCs w:val="24"/>
        </w:rPr>
        <w:t xml:space="preserve">(</w:t>
      </w:r>
      <w:r>
        <w:rPr>
          <w:b/>
          <w:i/>
          <w:szCs w:val="24"/>
        </w:rPr>
        <w:t xml:space="preserve">Именовать файлы необходимо следующим образом: пример: «1.</w:t>
      </w:r>
      <w:r>
        <w:rPr>
          <w:b/>
          <w:i/>
          <w:szCs w:val="24"/>
        </w:rPr>
        <w:t xml:space="preserve"> Письмо о подаче оферты.pdf», «2. </w:t>
      </w:r>
      <w:r>
        <w:rPr>
          <w:b/>
          <w:i/>
          <w:szCs w:val="24"/>
        </w:rPr>
        <w:t xml:space="preserve">Спецификация на поставку ТМЦ» и т.д</w:t>
      </w:r>
      <w:r>
        <w:rPr>
          <w:b/>
          <w:szCs w:val="24"/>
        </w:rPr>
        <w:t xml:space="preserve">.</w:t>
      </w:r>
      <w:r>
        <w:rPr>
          <w:szCs w:val="24"/>
        </w:rPr>
        <w:t xml:space="preserve">).</w:t>
      </w:r>
      <w:r>
        <w:rPr>
          <w:szCs w:val="24"/>
        </w:rPr>
        <w:t xml:space="preserve"> Размещение архивов, состоящих </w:t>
      </w:r>
      <w:r>
        <w:rPr>
          <w:szCs w:val="24"/>
        </w:rPr>
        <w:t xml:space="preserve">из нескольких частей (томов) на ЭТП не допускается.</w:t>
      </w:r>
      <w:r>
        <w:rPr>
          <w:szCs w:val="24"/>
        </w:rPr>
      </w:r>
      <w:r>
        <w:rPr>
          <w:szCs w:val="24"/>
        </w:rPr>
      </w:r>
    </w:p>
    <w:p>
      <w:pPr>
        <w:contextualSpacing/>
        <w:spacing w:after="0"/>
        <w:widowControl w:val="off"/>
        <w:tabs>
          <w:tab w:val="left" w:pos="993" w:leader="none"/>
        </w:tabs>
      </w:pPr>
      <w:r>
        <w:t xml:space="preserve">Прочие правила оформления заявок через ЭТП определяются правилами данной системы.</w:t>
      </w:r>
      <w:r/>
    </w:p>
    <w:p>
      <w:pPr>
        <w:contextualSpacing/>
        <w:spacing w:after="0"/>
        <w:widowControl w:val="off"/>
        <w:tabs>
          <w:tab w:val="left" w:pos="993" w:leader="none"/>
        </w:tabs>
      </w:pPr>
      <w:r>
        <w:t xml:space="preserve">При проведении закупки в электронной форме участник должен заверить электронные документы, размещаемые на ЭТП, усиленной к</w:t>
      </w:r>
      <w:r>
        <w:t xml:space="preserve">валифицированной электронной подписью согласно ФЗ №63-ФЗ. При этом </w:t>
      </w:r>
      <w:r>
        <w:t xml:space="preserve">скан-копии</w:t>
      </w:r>
      <w:r>
        <w:t xml:space="preserve"> заполненных форм, подписанных собственноручной подписью, размещать на ЭТП не обязательно. </w:t>
      </w:r>
      <w:r/>
    </w:p>
    <w:p>
      <w:pPr>
        <w:contextualSpacing/>
        <w:spacing w:after="0"/>
        <w:widowControl w:val="off"/>
        <w:tabs>
          <w:tab w:val="left" w:pos="993" w:leader="none"/>
        </w:tabs>
        <w:rPr>
          <w:u w:val="single"/>
        </w:rPr>
      </w:pPr>
      <w:r>
        <w:t xml:space="preserve">Все файлы заявки, размещенные Участником на ЭТП, должны иметь наименование либо коммент</w:t>
      </w:r>
      <w:r>
        <w:t xml:space="preserve">арий, позволяющие идентифицировать содержание данного файла Заявки, с указанием наименования документа, представленного данным файлом.</w:t>
      </w:r>
      <w:r>
        <w:rPr>
          <w:u w:val="single"/>
        </w:rPr>
      </w:r>
      <w:r>
        <w:rPr>
          <w:u w:val="single"/>
        </w:rPr>
      </w:r>
    </w:p>
    <w:p>
      <w:pPr>
        <w:contextualSpacing/>
        <w:spacing w:after="0"/>
        <w:widowControl w:val="off"/>
      </w:pPr>
      <w:r/>
      <w:r/>
    </w:p>
    <w:p>
      <w:pPr>
        <w:pStyle w:val="914"/>
        <w:numPr>
          <w:ilvl w:val="1"/>
          <w:numId w:val="39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70" w:name="_Toc189054413"/>
      <w:r>
        <w:rPr>
          <w:sz w:val="24"/>
          <w:szCs w:val="24"/>
        </w:rPr>
        <w:t xml:space="preserve">Требования к описанию предложения участника закупки.</w:t>
      </w:r>
      <w:bookmarkEnd w:id="7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15"/>
        <w:numPr>
          <w:ilvl w:val="2"/>
          <w:numId w:val="39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</w:t>
      </w:r>
      <w:r>
        <w:rPr>
          <w:rFonts w:ascii="Times New Roman" w:hAnsi="Times New Roman" w:cs="Times New Roman"/>
          <w:b w:val="0"/>
          <w:bCs w:val="0"/>
        </w:rPr>
        <w:t xml:space="preserve">новлено Документацией о закупке ссылки в Документации о закупке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</w:t>
      </w:r>
      <w:r>
        <w:rPr>
          <w:rFonts w:ascii="Times New Roman" w:hAnsi="Times New Roman" w:cs="Times New Roman"/>
          <w:b w:val="0"/>
          <w:bCs w:val="0"/>
        </w:rPr>
        <w:t xml:space="preserve">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«Техническое задание» к настоящей Документации. </w:t>
      </w:r>
      <w:r>
        <w:rPr>
          <w:rFonts w:ascii="Times New Roman" w:hAnsi="Times New Roman" w:cs="Times New Roman"/>
          <w:bCs w:val="0"/>
          <w:u w:val="single"/>
        </w:rPr>
        <w:t xml:space="preserve">Подачей Заявки Участник заверяет и гарантирует Органи</w:t>
      </w:r>
      <w:r>
        <w:rPr>
          <w:rFonts w:ascii="Times New Roman" w:hAnsi="Times New Roman" w:cs="Times New Roman"/>
          <w:bCs w:val="0"/>
          <w:u w:val="single"/>
        </w:rPr>
        <w:t xml:space="preserve">затору соответствие всех без исключения характеристик предлагаемой к поставке продукции требованиям Организатора.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39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</w:t>
      </w:r>
      <w:r>
        <w:rPr>
          <w:rFonts w:ascii="Times New Roman" w:hAnsi="Times New Roman" w:cs="Times New Roman"/>
          <w:bCs w:val="0"/>
        </w:rPr>
        <w:t xml:space="preserve">обязан</w:t>
      </w:r>
      <w:r>
        <w:rPr>
          <w:rFonts w:ascii="Times New Roman" w:hAnsi="Times New Roman" w:cs="Times New Roman"/>
          <w:b w:val="0"/>
          <w:bCs w:val="0"/>
        </w:rPr>
        <w:t xml:space="preserve"> подтвердить соответствие поставляемой продукции требованиям Документации о закупке в отношении </w:t>
      </w:r>
      <w:r>
        <w:rPr>
          <w:rFonts w:ascii="Times New Roman" w:hAnsi="Times New Roman" w:cs="Times New Roman"/>
          <w:b w:val="0"/>
          <w:bCs w:val="0"/>
        </w:rPr>
        <w:t xml:space="preserve">всех показателей, которые в ней установлены.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39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</w:t>
      </w:r>
      <w:r>
        <w:rPr>
          <w:rFonts w:ascii="Times New Roman" w:hAnsi="Times New Roman" w:cs="Times New Roman"/>
          <w:b w:val="0"/>
          <w:bCs w:val="0"/>
        </w:rPr>
        <w:t xml:space="preserve">ние описания в ином порядке в соответствии с требованиями к продукции, установленными в Приложении №1 «Техническое задание» к настоящей Документации.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39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Приложении №1 «Техническое задание» к настоящей Документации</w:t>
      </w:r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продукции </w:t>
      </w:r>
      <w:r>
        <w:rPr>
          <w:rFonts w:ascii="Times New Roman" w:hAnsi="Times New Roman" w:cs="Times New Roman"/>
          <w:b w:val="0"/>
          <w:bCs w:val="0"/>
        </w:rPr>
        <w:t xml:space="preserve">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15"/>
        <w:numPr>
          <w:ilvl w:val="2"/>
          <w:numId w:val="39"/>
        </w:numPr>
        <w:ind w:left="0" w:firstLine="0"/>
        <w:keepNext w:val="0"/>
        <w:spacing w:before="0" w:after="0"/>
        <w:widowControl w:val="off"/>
        <w:tabs>
          <w:tab w:val="left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</w:t>
      </w:r>
      <w:r>
        <w:rPr>
          <w:rFonts w:ascii="Times New Roman" w:hAnsi="Times New Roman" w:cs="Times New Roman"/>
          <w:b w:val="0"/>
          <w:bCs w:val="0"/>
        </w:rPr>
        <w:t xml:space="preserve"> соответствии с </w:t>
      </w:r>
      <w:r>
        <w:rPr>
          <w:rFonts w:ascii="Times New Roman" w:hAnsi="Times New Roman" w:cs="Times New Roman"/>
          <w:b w:val="0"/>
          <w:bCs w:val="0"/>
        </w:rPr>
        <w:t xml:space="preserve">законодательством и требованиями настоящей документации о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contextualSpacing/>
        <w:spacing w:after="0"/>
        <w:widowControl w:val="off"/>
      </w:pPr>
      <w:r/>
      <w:r/>
    </w:p>
    <w:p>
      <w:pPr>
        <w:pStyle w:val="914"/>
        <w:numPr>
          <w:ilvl w:val="1"/>
          <w:numId w:val="39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71" w:name="_Toc189054414"/>
      <w:r>
        <w:rPr>
          <w:sz w:val="24"/>
          <w:szCs w:val="24"/>
        </w:rPr>
        <w:t xml:space="preserve">Срок действия заявки на участие в закупке.</w:t>
      </w:r>
      <w:bookmarkEnd w:id="7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709" w:leader="none"/>
          <w:tab w:val="left" w:pos="1134" w:leader="none"/>
          <w:tab w:val="left" w:pos="1620" w:leader="none"/>
        </w:tabs>
        <w:rPr>
          <w:szCs w:val="24"/>
        </w:rPr>
      </w:pPr>
      <w:r/>
      <w:bookmarkStart w:id="72" w:name="_Ref56220570"/>
      <w:r/>
      <w:bookmarkStart w:id="73" w:name="_Ref306199791"/>
      <w:r>
        <w:rPr>
          <w:szCs w:val="24"/>
        </w:rPr>
        <w:t xml:space="preserve">Заявка действительна в течение срока, указанного Участником Запроса предложений в письме о подаче оферты. </w:t>
      </w:r>
      <w:bookmarkEnd w:id="72"/>
      <w:r>
        <w:rPr>
          <w:szCs w:val="24"/>
        </w:rPr>
        <w:t xml:space="preserve">В любом случае этот сро</w:t>
      </w:r>
      <w:r>
        <w:rPr>
          <w:szCs w:val="24"/>
        </w:rPr>
        <w:t xml:space="preserve">к не должен быть менее чем 90 (девяносто) календарных дней со дня, следующего за днем окончания срока подачи заявок на участие в Закупке.</w:t>
      </w:r>
      <w:bookmarkEnd w:id="73"/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709" w:leader="none"/>
          <w:tab w:val="left" w:pos="1134" w:leader="none"/>
          <w:tab w:val="left" w:pos="1620" w:leader="none"/>
        </w:tabs>
        <w:rPr>
          <w:szCs w:val="24"/>
        </w:rPr>
      </w:pPr>
      <w:r>
        <w:rPr>
          <w:szCs w:val="24"/>
        </w:rPr>
        <w:t xml:space="preserve">Указание меньшего срока действия может служить основанием для отклонения Заявки.</w:t>
      </w:r>
      <w:r>
        <w:rPr>
          <w:szCs w:val="24"/>
        </w:rPr>
      </w:r>
      <w:r>
        <w:rPr>
          <w:szCs w:val="24"/>
        </w:rPr>
      </w:r>
    </w:p>
    <w:p>
      <w:pPr>
        <w:pStyle w:val="1262"/>
        <w:ind w:firstLine="0"/>
        <w:widowControl w:val="off"/>
        <w:tabs>
          <w:tab w:val="left" w:pos="709" w:leader="none"/>
          <w:tab w:val="left" w:pos="1620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914"/>
        <w:numPr>
          <w:ilvl w:val="1"/>
          <w:numId w:val="39"/>
        </w:numPr>
        <w:ind w:left="0" w:firstLine="0"/>
        <w:jc w:val="both"/>
        <w:keepNext w:val="0"/>
        <w:spacing w:after="0"/>
        <w:widowControl w:val="off"/>
        <w:tabs>
          <w:tab w:val="left" w:pos="709" w:leader="none"/>
        </w:tabs>
        <w:rPr>
          <w:sz w:val="24"/>
          <w:szCs w:val="24"/>
        </w:rPr>
      </w:pPr>
      <w:r/>
      <w:bookmarkStart w:id="74" w:name="_Toc57314647"/>
      <w:r/>
      <w:bookmarkStart w:id="75" w:name="_Toc98251719"/>
      <w:r/>
      <w:bookmarkStart w:id="76" w:name="_Toc298234679"/>
      <w:r/>
      <w:bookmarkStart w:id="77" w:name="_Toc255985679"/>
      <w:r/>
      <w:bookmarkStart w:id="78" w:name="_Toc477787559"/>
      <w:r/>
      <w:bookmarkStart w:id="79" w:name="_Toc189054415"/>
      <w:r>
        <w:rPr>
          <w:sz w:val="24"/>
          <w:szCs w:val="24"/>
        </w:rPr>
        <w:t xml:space="preserve">Требования к языку Заявки</w:t>
      </w:r>
      <w:bookmarkEnd w:id="74"/>
      <w:r/>
      <w:bookmarkEnd w:id="75"/>
      <w:r/>
      <w:bookmarkEnd w:id="76"/>
      <w:r/>
      <w:bookmarkEnd w:id="77"/>
      <w:r/>
      <w:bookmarkEnd w:id="78"/>
      <w:r>
        <w:rPr>
          <w:sz w:val="24"/>
          <w:szCs w:val="24"/>
        </w:rPr>
        <w:t xml:space="preserve">.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709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Все докум</w:t>
      </w:r>
      <w:r>
        <w:rPr>
          <w:szCs w:val="24"/>
        </w:rPr>
        <w:t xml:space="preserve">енты, входящие в Заявку, должны быть подготовлены на русском языке за исключением нижеследующего.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709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Документы, оригиналы которых выданы Участнику Запроса предложений третьими лицами на ином языке, могут быть представлены на языке оригинала при условии, что к</w:t>
      </w:r>
      <w:r>
        <w:rPr>
          <w:szCs w:val="24"/>
        </w:rPr>
        <w:t xml:space="preserve"> ним приложен перевод этих документов на русский язык (в специально оговоренных случаях — </w:t>
      </w:r>
      <w:r>
        <w:rPr>
          <w:szCs w:val="24"/>
        </w:rPr>
        <w:t xml:space="preserve">апостилированный</w:t>
      </w:r>
      <w:r>
        <w:rPr>
          <w:szCs w:val="24"/>
        </w:rPr>
        <w:t xml:space="preserve">). При выявлении расхождений между русским переводом и оригиналом документа на ином языке Организатор Запроса предложений будет принимать решение на о</w:t>
      </w:r>
      <w:r>
        <w:rPr>
          <w:szCs w:val="24"/>
        </w:rPr>
        <w:t xml:space="preserve">сновании перевода.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709" w:leader="none"/>
          <w:tab w:val="left" w:pos="1134" w:leader="none"/>
        </w:tabs>
        <w:rPr>
          <w:szCs w:val="24"/>
        </w:rPr>
      </w:pPr>
      <w:r>
        <w:rPr>
          <w:szCs w:val="24"/>
        </w:rPr>
        <w:t xml:space="preserve">Комиссия вправе не рассматривать документы, не переведенные на русский язык.</w:t>
      </w:r>
      <w:bookmarkStart w:id="80" w:name="_Hlt40850038"/>
      <w:r/>
      <w:bookmarkEnd w:id="80"/>
      <w:r>
        <w:rPr>
          <w:szCs w:val="24"/>
        </w:rPr>
      </w:r>
      <w:r>
        <w:rPr>
          <w:szCs w:val="24"/>
        </w:rPr>
      </w:r>
    </w:p>
    <w:p>
      <w:pPr>
        <w:pStyle w:val="1262"/>
        <w:ind w:firstLine="0"/>
        <w:widowControl w:val="off"/>
        <w:tabs>
          <w:tab w:val="left" w:pos="993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914"/>
        <w:numPr>
          <w:ilvl w:val="1"/>
          <w:numId w:val="39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81" w:name="_Toc189054416"/>
      <w:r>
        <w:rPr>
          <w:sz w:val="24"/>
          <w:szCs w:val="24"/>
        </w:rPr>
        <w:t xml:space="preserve">Валюта закупки.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/>
      <w:bookmarkStart w:id="82" w:name="_Ref56220708"/>
      <w:r>
        <w:rPr>
          <w:szCs w:val="24"/>
        </w:rPr>
        <w:t xml:space="preserve">Все суммы денежных сре</w:t>
      </w:r>
      <w:r>
        <w:rPr>
          <w:szCs w:val="24"/>
        </w:rPr>
        <w:t xml:space="preserve">дств в д</w:t>
      </w:r>
      <w:r>
        <w:rPr>
          <w:szCs w:val="24"/>
        </w:rPr>
        <w:t xml:space="preserve">окументах, входящих в Заявку, должны быть выражены в российских рублях за исключением нижеследующего.</w:t>
      </w:r>
      <w:bookmarkEnd w:id="82"/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Документы, оригиналы которых выданы Участнику Запроса предложений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</w:t>
      </w:r>
      <w:r>
        <w:rPr>
          <w:szCs w:val="24"/>
        </w:rPr>
        <w:t xml:space="preserve">сумм в российские рубли исходя из официального курса валюты, установленного Центральным банком Российской Федерации, с указанием такого курса и даты его установления.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Цена Заявки фиксируется в российских рублях и не подлежит изменению при изменении официал</w:t>
      </w:r>
      <w:r>
        <w:rPr>
          <w:szCs w:val="24"/>
        </w:rPr>
        <w:t xml:space="preserve">ьного курса валюты.</w:t>
      </w:r>
      <w:r>
        <w:rPr>
          <w:szCs w:val="24"/>
        </w:rPr>
      </w:r>
      <w:r>
        <w:rPr>
          <w:szCs w:val="24"/>
        </w:rPr>
      </w:r>
    </w:p>
    <w:p>
      <w:pPr>
        <w:pStyle w:val="1262"/>
        <w:ind w:firstLine="0"/>
        <w:widowControl w:val="off"/>
        <w:tabs>
          <w:tab w:val="left" w:pos="567" w:leader="none"/>
        </w:tabs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914"/>
        <w:numPr>
          <w:ilvl w:val="1"/>
          <w:numId w:val="39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83" w:name="_Toc189054417"/>
      <w:r>
        <w:rPr>
          <w:sz w:val="24"/>
          <w:szCs w:val="24"/>
        </w:rPr>
        <w:t xml:space="preserve">Начальная (максимальная) цена договора (начальная (максимальная) цена закупки) - НМЦ.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33"/>
        <w:numPr>
          <w:ilvl w:val="2"/>
          <w:numId w:val="39"/>
        </w:numPr>
        <w:ind w:left="0" w:firstLine="0"/>
        <w:jc w:val="both"/>
        <w:widowControl w:val="off"/>
        <w:tabs>
          <w:tab w:val="left" w:pos="709" w:leader="none"/>
          <w:tab w:val="left" w:pos="993" w:leader="none"/>
        </w:tabs>
      </w:pPr>
      <w:r>
        <w:t xml:space="preserve">НМЦ указана в разделе 1 Извещения о закупке и не может быть превышена в заявке Участника закупки. НМЦ также не может быть </w:t>
      </w:r>
      <w:r>
        <w:t xml:space="preserve">снижена</w:t>
      </w:r>
      <w:r>
        <w:t xml:space="preserve"> в заявке Участника </w:t>
      </w:r>
      <w:r>
        <w:t xml:space="preserve">закупки, если в Документации о закупке/ Приложении №1 «Техническое задание» указано, что НМЦ является неизменной.</w:t>
      </w:r>
      <w:r/>
    </w:p>
    <w:p>
      <w:pPr>
        <w:pStyle w:val="1233"/>
        <w:numPr>
          <w:ilvl w:val="2"/>
          <w:numId w:val="39"/>
        </w:numPr>
        <w:ind w:left="0" w:firstLine="0"/>
        <w:jc w:val="both"/>
        <w:widowControl w:val="off"/>
        <w:tabs>
          <w:tab w:val="left" w:pos="709" w:leader="none"/>
          <w:tab w:val="left" w:pos="993" w:leader="none"/>
        </w:tabs>
      </w:pPr>
      <w:r>
        <w:rPr>
          <w:bCs/>
        </w:rPr>
        <w:t xml:space="preserve">В случае установления в документации о закупке единичных расценок, либо использования в рамках формирования НМЦ отдельных стоимостных позиций </w:t>
      </w:r>
      <w:r>
        <w:rPr>
          <w:bCs/>
        </w:rPr>
        <w:t xml:space="preserve">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>
        <w:t xml:space="preserve"> если иное не установлено, </w:t>
      </w:r>
      <w:r>
        <w:rPr>
          <w:bCs/>
        </w:rPr>
        <w:t xml:space="preserve">заявка участника не д</w:t>
      </w:r>
      <w:r>
        <w:rPr>
          <w:bCs/>
        </w:rPr>
        <w:t xml:space="preserve">олжна превышать единичные расценки либо отдельные стоимостные позиции соответственно.</w:t>
      </w:r>
      <w:r/>
    </w:p>
    <w:p>
      <w:pPr>
        <w:pStyle w:val="915"/>
        <w:numPr>
          <w:ilvl w:val="2"/>
          <w:numId w:val="39"/>
        </w:numPr>
        <w:ind w:left="0" w:firstLine="0"/>
        <w:keepNext w:val="0"/>
        <w:spacing w:before="0" w:after="0"/>
        <w:widowControl w:val="off"/>
        <w:tabs>
          <w:tab w:val="left" w:pos="709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 все затраты, накладные расходы, налоги, пошлины, таможенные платежи, страхование и прочие сборы, которые поставщик (подрядчик, исполн</w:t>
      </w:r>
      <w:r>
        <w:rPr>
          <w:rFonts w:ascii="Times New Roman" w:hAnsi="Times New Roman" w:eastAsia="Calibri" w:cs="Times New Roman"/>
          <w:b w:val="0"/>
        </w:rPr>
        <w:t xml:space="preserve">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233"/>
        <w:numPr>
          <w:ilvl w:val="2"/>
          <w:numId w:val="39"/>
        </w:numPr>
        <w:ind w:left="0" w:firstLine="0"/>
        <w:jc w:val="both"/>
        <w:widowControl w:val="off"/>
        <w:tabs>
          <w:tab w:val="left" w:pos="709" w:leader="none"/>
          <w:tab w:val="left" w:pos="993" w:leader="none"/>
        </w:tabs>
      </w:pPr>
      <w:r>
        <w:t xml:space="preserve">В случае превышения в заявке участника закупки НМЦ / снижения НМЦ</w:t>
      </w:r>
      <w:r>
        <w:t xml:space="preserve"> (при наличии условия о неизменности стоимости договора в Документации/ Приложении №1 «Техническое задание»), указанной в разделе 1 Извещения о закупке, экспертная оценка такой заявки не проводится, такая заявка отклоняется как не соответствующая требовани</w:t>
      </w:r>
      <w:r>
        <w:t xml:space="preserve">ям Документации о закупке.</w:t>
      </w:r>
      <w:r/>
    </w:p>
    <w:p>
      <w:pPr>
        <w:pStyle w:val="914"/>
        <w:numPr>
          <w:ilvl w:val="1"/>
          <w:numId w:val="39"/>
        </w:numPr>
        <w:ind w:left="0" w:firstLine="0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84" w:name="_Toc160935613"/>
      <w:r/>
      <w:bookmarkStart w:id="85" w:name="_Toc174331915"/>
      <w:r/>
      <w:bookmarkStart w:id="86" w:name="_Toc180463362"/>
      <w:r/>
      <w:bookmarkStart w:id="87" w:name="_Toc181426538"/>
      <w:r/>
      <w:bookmarkStart w:id="88" w:name="_Toc182200903"/>
      <w:r/>
      <w:bookmarkStart w:id="89" w:name="_Toc298234673"/>
      <w:r/>
      <w:bookmarkStart w:id="90" w:name="_Toc255985673"/>
      <w:r/>
      <w:bookmarkStart w:id="91" w:name="_Ref303251185"/>
      <w:r>
        <w:rPr>
          <w:sz w:val="24"/>
          <w:szCs w:val="24"/>
        </w:rPr>
        <w:t xml:space="preserve"> </w:t>
      </w:r>
      <w:bookmarkStart w:id="92" w:name="_Toc477787553"/>
      <w:r/>
      <w:bookmarkStart w:id="93" w:name="_Toc189054418"/>
      <w:r>
        <w:rPr>
          <w:sz w:val="24"/>
          <w:szCs w:val="24"/>
        </w:rPr>
        <w:t xml:space="preserve">Участие в запросе предложений коллективных участников</w:t>
      </w:r>
      <w:bookmarkEnd w:id="84"/>
      <w:r/>
      <w:bookmarkEnd w:id="85"/>
      <w:r/>
      <w:bookmarkEnd w:id="86"/>
      <w:r/>
      <w:bookmarkEnd w:id="87"/>
      <w:r/>
      <w:bookmarkEnd w:id="88"/>
      <w:r/>
      <w:bookmarkEnd w:id="89"/>
      <w:r/>
      <w:bookmarkEnd w:id="90"/>
      <w:r>
        <w:rPr>
          <w:sz w:val="24"/>
          <w:szCs w:val="24"/>
        </w:rPr>
        <w:t xml:space="preserve"> (группы лиц)</w:t>
      </w:r>
      <w:bookmarkEnd w:id="91"/>
      <w:r/>
      <w:bookmarkEnd w:id="92"/>
      <w:r>
        <w:rPr>
          <w:sz w:val="24"/>
          <w:szCs w:val="24"/>
        </w:rPr>
        <w:t xml:space="preserve">.</w:t>
      </w:r>
      <w:bookmarkEnd w:id="9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В Запросе предложений могут участвовать не только юридические лица, индивидуальные предприниматели, физические лица самостоятельно, но и их объединения (группы </w:t>
      </w:r>
      <w:r>
        <w:rPr>
          <w:szCs w:val="24"/>
        </w:rPr>
        <w:t xml:space="preserve">лиц), способные на законных основаниях выполнить требуемые поставки, работы, услуги.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Если Заявка подается коллективным Участником (группой лиц), дополнительно к требованиям, указанным в разделе 3 настоящей Документации, должны быть выполнены нижеприведенны</w:t>
      </w:r>
      <w:r>
        <w:rPr>
          <w:szCs w:val="24"/>
        </w:rPr>
        <w:t xml:space="preserve">е требования.</w:t>
      </w:r>
      <w:bookmarkStart w:id="94" w:name="_Ref308086230"/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709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Юридические лица (индивидуальные предприниматели), представляющие коллективного Участника, заключают между собой соглашение, соответствующее нормам Гражданского кодекса Российской Федерации, и отвечающее следующим требованиям:</w:t>
      </w:r>
      <w:bookmarkEnd w:id="94"/>
      <w:r>
        <w:rPr>
          <w:szCs w:val="24"/>
        </w:rPr>
      </w:r>
      <w:r>
        <w:rPr>
          <w:szCs w:val="24"/>
        </w:rPr>
      </w:r>
    </w:p>
    <w:p>
      <w:pPr>
        <w:pStyle w:val="1244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/>
      <w:bookmarkStart w:id="95" w:name="_Ref308086240"/>
      <w:r>
        <w:rPr>
          <w:sz w:val="24"/>
          <w:szCs w:val="24"/>
        </w:rPr>
        <w:t xml:space="preserve">в соглашении должны быть четко определены права и обязанности сторон как в рамках участия в запросе предложений, так и в рамках исполнения Договора;</w:t>
      </w:r>
      <w:bookmarkEnd w:id="9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4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работ/услуг </w:t>
      </w:r>
      <w:r>
        <w:rPr>
          <w:sz w:val="24"/>
          <w:szCs w:val="24"/>
        </w:rPr>
        <w:t xml:space="preserve">между членами коллективного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4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Запроса предложений и Заказчиком;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4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соглашении должна быт</w:t>
      </w:r>
      <w:r>
        <w:rPr>
          <w:sz w:val="24"/>
          <w:szCs w:val="24"/>
        </w:rPr>
        <w:t xml:space="preserve">ь установлена субсидиарная ответственность каждого члена коллективного участника по обязательствам, связанным с участием в запросе предложений, и солидарная ответственность за своевременное и полное исполнение Договора</w:t>
      </w:r>
      <w:r>
        <w:rPr>
          <w:sz w:val="24"/>
          <w:szCs w:val="24"/>
        </w:rPr>
        <w:t xml:space="preserve">.</w:t>
      </w:r>
      <w:r>
        <w:rPr>
          <w:i/>
          <w:sz w:val="24"/>
          <w:szCs w:val="24"/>
          <w:highlight w:val="darkYellow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4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соглашением должно быть предусмотр</w:t>
      </w:r>
      <w:r>
        <w:rPr>
          <w:sz w:val="24"/>
          <w:szCs w:val="24"/>
        </w:rPr>
        <w:t xml:space="preserve">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4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 действия соглашения должен быть не менее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чем срок действ</w:t>
      </w:r>
      <w:r>
        <w:rPr>
          <w:sz w:val="24"/>
          <w:szCs w:val="24"/>
        </w:rPr>
        <w:t xml:space="preserve">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4"/>
        <w:numPr>
          <w:ilvl w:val="4"/>
          <w:numId w:val="19"/>
        </w:numPr>
        <w:ind w:left="0" w:firstLine="0"/>
        <w:spacing w:line="240" w:lineRule="auto"/>
        <w:widowControl w:val="off"/>
        <w:tabs>
          <w:tab w:val="clear" w:pos="360" w:leader="none"/>
          <w:tab w:val="num" w:pos="709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соглашение не должно изменяться без одобрения Организатора Запроса предложений и Заказчика.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Физические лица, выступающие на стороне одного Участника (группа лиц), должны подписать соответствующее соглашение, в котором должно быть отражена их </w:t>
      </w:r>
      <w:r>
        <w:rPr>
          <w:szCs w:val="24"/>
        </w:rPr>
        <w:t xml:space="preserve">воля на участие в запросе предложений на стороне одного Участника. Такое соглашение должно содержать сведения, указанные в п. 4.8.3. настоящей Документации, при этом такое соглашение между физическими лицами не является договором простого товарищества в си</w:t>
      </w:r>
      <w:r>
        <w:rPr>
          <w:szCs w:val="24"/>
        </w:rPr>
        <w:t xml:space="preserve">лу Главы 55 Гражданского кодекса Российской Федерации.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bCs w:val="0"/>
          <w:szCs w:val="24"/>
        </w:rPr>
        <w:t xml:space="preserve">Индивидуальные предприниматели, выступающие на стороне одного Участника (группа лиц), должны подписать соответствующее соглашение, в котором должно быть отражена их воля на участие в запросе предложени</w:t>
      </w:r>
      <w:r>
        <w:rPr>
          <w:bCs w:val="0"/>
          <w:szCs w:val="24"/>
        </w:rPr>
        <w:t xml:space="preserve">й на стороне одного Участника. 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Любое юридическое лицо (индивидуальный предприниматель), физические лицо может участвовать только в одном объединении и не имеет права принимать участие в данном </w:t>
      </w:r>
      <w:r>
        <w:rPr>
          <w:bCs w:val="0"/>
          <w:szCs w:val="24"/>
        </w:rPr>
        <w:t xml:space="preserve">Запрос предложений самостоятельно либо в качестве субподрядчик</w:t>
      </w:r>
      <w:r>
        <w:rPr>
          <w:bCs w:val="0"/>
          <w:szCs w:val="24"/>
        </w:rPr>
        <w:t xml:space="preserve">ов у других Участников данного Запроса предложений.</w:t>
      </w:r>
      <w:r>
        <w:rPr>
          <w:bCs w:val="0"/>
          <w:i/>
          <w:szCs w:val="24"/>
        </w:rPr>
        <w:t xml:space="preserve"> </w:t>
      </w:r>
      <w:r>
        <w:rPr>
          <w:bCs w:val="0"/>
          <w:szCs w:val="24"/>
        </w:rPr>
        <w:t xml:space="preserve">В случае невыполнения этих требований заявки с участием таких организаций/физических</w:t>
      </w:r>
      <w:r>
        <w:rPr>
          <w:szCs w:val="24"/>
        </w:rPr>
        <w:t xml:space="preserve"> лиц будут отклонены без рассмотрения по существу. 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2"/>
          <w:numId w:val="39"/>
        </w:numPr>
        <w:ind w:left="0" w:firstLine="0"/>
        <w:widowControl w:val="off"/>
        <w:tabs>
          <w:tab w:val="left" w:pos="567" w:leader="none"/>
          <w:tab w:val="left" w:pos="993" w:leader="none"/>
        </w:tabs>
        <w:rPr>
          <w:szCs w:val="24"/>
        </w:rPr>
      </w:pPr>
      <w:r>
        <w:rPr>
          <w:szCs w:val="24"/>
        </w:rPr>
        <w:t xml:space="preserve">С учетом </w:t>
      </w:r>
      <w:r>
        <w:rPr>
          <w:szCs w:val="24"/>
        </w:rPr>
        <w:t xml:space="preserve">изложенного</w:t>
      </w:r>
      <w:r>
        <w:rPr>
          <w:szCs w:val="24"/>
        </w:rPr>
        <w:t xml:space="preserve"> коллективный Участник (группа лиц) готовит Заяв</w:t>
      </w:r>
      <w:r>
        <w:rPr>
          <w:szCs w:val="24"/>
        </w:rPr>
        <w:t xml:space="preserve">ку с учетом следующих дополнительных требований:</w:t>
      </w:r>
      <w:r>
        <w:rPr>
          <w:szCs w:val="24"/>
        </w:rPr>
      </w:r>
      <w:r>
        <w:rPr>
          <w:szCs w:val="24"/>
        </w:rPr>
      </w:r>
    </w:p>
    <w:p>
      <w:pPr>
        <w:pStyle w:val="1244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в соответствии с подп.  5), 10), 12), 13), 15), 16), 18), 19), 20) п. 4.2.1., п. 4.2.2., п. 4</w:t>
      </w:r>
      <w:r>
        <w:rPr>
          <w:sz w:val="24"/>
          <w:szCs w:val="24"/>
        </w:rPr>
        <w:t xml:space="preserve">.2.3. настоящей Документации;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4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заявка подготавливается и подается лидером от своего имени со ссылкой на то, что он представляет интересы коллективного Участника;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4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44"/>
        <w:numPr>
          <w:ilvl w:val="4"/>
          <w:numId w:val="20"/>
        </w:numPr>
        <w:ind w:left="0" w:firstLine="0"/>
        <w:spacing w:line="240" w:lineRule="auto"/>
        <w:widowControl w:val="off"/>
        <w:tabs>
          <w:tab w:val="left" w:pos="567" w:leader="none"/>
          <w:tab w:val="num" w:pos="851" w:leader="none"/>
          <w:tab w:val="clear" w:pos="184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выполнения работ/услуг по форме, установленной в настоящей Документации о закупке.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262"/>
        <w:numPr>
          <w:ilvl w:val="3"/>
          <w:numId w:val="38"/>
        </w:numPr>
        <w:ind w:left="0" w:firstLine="0"/>
        <w:widowControl w:val="off"/>
        <w:rPr>
          <w:szCs w:val="24"/>
        </w:rPr>
      </w:pPr>
      <w:r>
        <w:rPr>
          <w:szCs w:val="24"/>
        </w:rPr>
        <w:t xml:space="preserve">При установлении требований по количественным параметрам деятельности </w:t>
      </w:r>
      <w:r>
        <w:rPr>
          <w:szCs w:val="24"/>
        </w:rPr>
        <w:t xml:space="preserve">коллективно</w:t>
      </w:r>
      <w:r>
        <w:rPr>
          <w:szCs w:val="24"/>
        </w:rPr>
        <w:t xml:space="preserve">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д</w:t>
      </w:r>
      <w:r>
        <w:rPr>
          <w:szCs w:val="24"/>
        </w:rPr>
        <w:t xml:space="preserve">окументации о закупке требованиям оценивается в соответствии с распределением поставок, работ, услуг между членами коллективного участника.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3"/>
          <w:numId w:val="38"/>
        </w:numPr>
        <w:ind w:left="0" w:firstLine="0"/>
        <w:widowControl w:val="off"/>
        <w:rPr>
          <w:szCs w:val="24"/>
        </w:rPr>
      </w:pPr>
      <w:r>
        <w:rPr>
          <w:szCs w:val="24"/>
        </w:rPr>
        <w:t xml:space="preserve">Вне зависимости от того, применяет ли хоть один из членов коллективного Участника упрощенную систему налогообложения</w:t>
      </w:r>
      <w:r>
        <w:rPr>
          <w:szCs w:val="24"/>
        </w:rPr>
        <w:t xml:space="preserve">, стоимость заявки должна быть определена с учетом НДС, при этом в плане распределения работ также должны быть указаны все суммы с НДС (</w:t>
      </w:r>
      <w:r>
        <w:rPr>
          <w:szCs w:val="24"/>
        </w:rPr>
        <w:t xml:space="preserve">пп</w:t>
      </w:r>
      <w:r>
        <w:rPr>
          <w:szCs w:val="24"/>
        </w:rPr>
        <w:t xml:space="preserve">. 1 п. 1 ст. 146, ст. 174.1, п. 2 ст. 346.11 Налогового Кодекса Российской Федерации).</w:t>
      </w:r>
      <w:r>
        <w:rPr>
          <w:szCs w:val="24"/>
        </w:rPr>
        <w:t xml:space="preserve"> В случае невыполнения данного у</w:t>
      </w:r>
      <w:r>
        <w:rPr>
          <w:szCs w:val="24"/>
        </w:rPr>
        <w:t xml:space="preserve">словия заявка Участника подлежит отклонению.</w:t>
      </w:r>
      <w:r>
        <w:rPr>
          <w:szCs w:val="24"/>
        </w:rPr>
      </w:r>
      <w:r>
        <w:rPr>
          <w:szCs w:val="24"/>
        </w:rPr>
      </w:r>
    </w:p>
    <w:p>
      <w:pPr>
        <w:pStyle w:val="1262"/>
        <w:numPr>
          <w:ilvl w:val="3"/>
          <w:numId w:val="38"/>
        </w:numPr>
        <w:ind w:left="0" w:firstLine="0"/>
        <w:widowControl w:val="off"/>
        <w:rPr>
          <w:szCs w:val="24"/>
        </w:rPr>
      </w:pPr>
      <w:r>
        <w:rPr>
          <w:szCs w:val="24"/>
        </w:rPr>
        <w:t xml:space="preserve">Комиссия может отклонить Заявку, а Заказчик имеет право на одностороннее расторжение договора, если выяснится, что </w:t>
      </w:r>
      <w:r>
        <w:rPr>
          <w:szCs w:val="24"/>
        </w:rPr>
        <w:t xml:space="preserve">из состава коллективного участника (группы лиц) вышла одна или несколько организаций (а из группы лиц – одно или несколько физических лиц), а оставшиеся члены объединения (группы лиц), с точки зрения Заказчика, не способны самостоятельно выполнить Договор.</w:t>
      </w:r>
      <w:bookmarkEnd w:id="13"/>
      <w:r>
        <w:rPr>
          <w:szCs w:val="24"/>
        </w:rPr>
      </w:r>
      <w:r>
        <w:rPr>
          <w:szCs w:val="24"/>
        </w:rPr>
      </w:r>
    </w:p>
    <w:p>
      <w:pPr>
        <w:pStyle w:val="914"/>
        <w:ind w:left="0" w:firstLine="0"/>
        <w:jc w:val="both"/>
        <w:keepNext w:val="0"/>
        <w:spacing w:after="0"/>
        <w:widowControl w:val="off"/>
        <w:tabs>
          <w:tab w:val="clear" w:pos="57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13"/>
        <w:numPr>
          <w:ilvl w:val="0"/>
          <w:numId w:val="6"/>
        </w:numPr>
        <w:ind w:left="0" w:firstLine="0"/>
        <w:keepNext w:val="0"/>
        <w:spacing w:before="0" w:after="0"/>
        <w:widowControl w:val="off"/>
        <w:rPr>
          <w:rStyle w:val="1215"/>
          <w:b/>
          <w:bCs/>
          <w:sz w:val="24"/>
          <w:szCs w:val="24"/>
        </w:rPr>
      </w:pPr>
      <w:r/>
      <w:bookmarkStart w:id="96" w:name="_РАЗДЕЛ_I_4_ОБРАЗЦЫ_ФОРМ_И_ДОКУМЕНТО"/>
      <w:r/>
      <w:bookmarkStart w:id="97" w:name="_Ref119427310"/>
      <w:r/>
      <w:bookmarkStart w:id="98" w:name="_Toc166101215"/>
      <w:r/>
      <w:bookmarkStart w:id="99" w:name="_Ref166101288"/>
      <w:r/>
      <w:bookmarkStart w:id="100" w:name="_Ref166101291"/>
      <w:r/>
      <w:bookmarkStart w:id="101" w:name="_Ref166158276"/>
      <w:r/>
      <w:bookmarkStart w:id="102" w:name="_Ref166158279"/>
      <w:r/>
      <w:bookmarkStart w:id="103" w:name="_Ref166329210"/>
      <w:r/>
      <w:bookmarkStart w:id="104" w:name="_Ref166329212"/>
      <w:r/>
      <w:bookmarkStart w:id="105" w:name="_Ref166329217"/>
      <w:r/>
      <w:bookmarkStart w:id="106" w:name="_Toc536114617"/>
      <w:r/>
      <w:bookmarkStart w:id="107" w:name="_Toc189054419"/>
      <w:r/>
      <w:bookmarkEnd w:id="96"/>
      <w:r>
        <w:rPr>
          <w:rStyle w:val="1215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97"/>
      <w:r/>
      <w:bookmarkEnd w:id="98"/>
      <w:r/>
      <w:bookmarkEnd w:id="99"/>
      <w:r/>
      <w:bookmarkEnd w:id="100"/>
      <w:r/>
      <w:bookmarkEnd w:id="101"/>
      <w:r/>
      <w:bookmarkEnd w:id="102"/>
      <w:r/>
      <w:bookmarkEnd w:id="103"/>
      <w:r/>
      <w:bookmarkEnd w:id="104"/>
      <w:r/>
      <w:bookmarkEnd w:id="105"/>
      <w:r/>
      <w:bookmarkEnd w:id="106"/>
      <w:r/>
      <w:bookmarkEnd w:id="107"/>
      <w:r>
        <w:rPr>
          <w:rStyle w:val="1215"/>
          <w:b/>
          <w:bCs/>
          <w:sz w:val="24"/>
          <w:szCs w:val="24"/>
        </w:rPr>
      </w:r>
      <w:r>
        <w:rPr>
          <w:rStyle w:val="1215"/>
          <w:b/>
          <w:bCs/>
          <w:sz w:val="24"/>
          <w:szCs w:val="24"/>
        </w:rPr>
      </w:r>
    </w:p>
    <w:p>
      <w:pPr>
        <w:spacing w:after="0"/>
        <w:widowControl w:val="off"/>
        <w:rPr>
          <w:b/>
        </w:rPr>
      </w:pPr>
      <w:r/>
      <w:bookmarkStart w:id="108" w:name="_Toc166101238"/>
      <w:r/>
      <w:bookmarkStart w:id="109" w:name="_Ref417482063"/>
      <w:r/>
      <w:bookmarkStart w:id="110" w:name="_Toc418077920"/>
      <w:r/>
      <w:bookmarkStart w:id="111" w:name="_Toc1149393"/>
      <w:r/>
      <w:bookmarkStart w:id="112" w:name="_Ref34763774"/>
      <w:r/>
      <w:bookmarkEnd w:id="108"/>
      <w:r>
        <w:rPr>
          <w:b/>
        </w:rPr>
        <w:t xml:space="preserve">Форма</w:t>
      </w:r>
      <w:bookmarkEnd w:id="109"/>
      <w:r/>
      <w:bookmarkEnd w:id="110"/>
      <w:r/>
      <w:bookmarkEnd w:id="111"/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Опись документов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>
        <w:rPr>
          <w:b/>
          <w:caps/>
          <w:spacing w:val="20"/>
          <w:sz w:val="28"/>
        </w:rPr>
        <w:t xml:space="preserve">ОПИСЬ ДОКУМЕНТОВ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Предоставляем для участия в закупке </w:t>
      </w:r>
      <w:r>
        <w:t xml:space="preserve">на</w:t>
      </w:r>
      <w:r>
        <w:t xml:space="preserve">____________________________________________*</w:t>
      </w:r>
      <w:r/>
    </w:p>
    <w:p>
      <w:pPr>
        <w:jc w:val="center"/>
        <w:spacing w:after="0"/>
        <w:widowControl w:val="off"/>
        <w:rPr>
          <w:vertAlign w:val="superscript"/>
        </w:rPr>
      </w:pPr>
      <w:r>
        <w:rPr>
          <w:vertAlign w:val="superscript"/>
        </w:rPr>
        <w:t xml:space="preserve">                   </w:t>
      </w:r>
      <w:r>
        <w:rPr>
          <w:vertAlign w:val="superscript"/>
        </w:rPr>
        <w:t xml:space="preserve">                                                                              (предмет договора)</w:t>
      </w:r>
      <w:r>
        <w:rPr>
          <w:vertAlign w:val="superscript"/>
        </w:rPr>
      </w:r>
      <w:r>
        <w:rPr>
          <w:vertAlign w:val="superscript"/>
        </w:rPr>
      </w:r>
    </w:p>
    <w:p>
      <w:pPr>
        <w:spacing w:after="0"/>
        <w:widowControl w:val="off"/>
      </w:pPr>
      <w:r>
        <w:t xml:space="preserve">нижеперечисленные документы:</w:t>
      </w:r>
      <w:r/>
    </w:p>
    <w:tbl>
      <w:tblPr>
        <w:tblW w:w="995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993"/>
        <w:gridCol w:w="8959"/>
      </w:tblGrid>
      <w:tr>
        <w:trPr>
          <w:trHeight w:val="707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№ п\</w:t>
            </w:r>
            <w:r>
              <w:rPr>
                <w:sz w:val="20"/>
                <w:szCs w:val="22"/>
              </w:rPr>
              <w:t xml:space="preserve">п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Наименование документа / *</w:t>
            </w:r>
            <w:r>
              <w:rPr>
                <w:sz w:val="20"/>
                <w:szCs w:val="22"/>
              </w:rPr>
              <w:br/>
              <w:t xml:space="preserve">наименование файла (при необходимости)</w:t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</w:tc>
      </w:tr>
      <w:tr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33"/>
              <w:numPr>
                <w:ilvl w:val="0"/>
                <w:numId w:val="37"/>
              </w:numPr>
              <w:contextualSpacing/>
              <w:ind w:left="0" w:firstLine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33"/>
              <w:numPr>
                <w:ilvl w:val="0"/>
                <w:numId w:val="37"/>
              </w:numPr>
              <w:contextualSpacing/>
              <w:ind w:left="0" w:firstLine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pStyle w:val="1233"/>
              <w:numPr>
                <w:ilvl w:val="0"/>
                <w:numId w:val="37"/>
              </w:numPr>
              <w:contextualSpacing/>
              <w:ind w:left="0" w:firstLine="0"/>
              <w:widowControl w:val="off"/>
            </w:pPr>
            <w:r/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  <w:tr>
        <w:trPr>
          <w:trHeight w:val="331"/>
          <w:tblHeader/>
        </w:trPr>
        <w:tc>
          <w:tcPr>
            <w:shd w:val="clear" w:color="000000" w:fill="auto"/>
            <w:tcBorders>
              <w:bottom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>
              <w:t xml:space="preserve">…</w:t>
            </w:r>
            <w:r/>
          </w:p>
        </w:tc>
        <w:tc>
          <w:tcPr>
            <w:shd w:val="clear" w:color="000000" w:fill="auto"/>
            <w:tcBorders>
              <w:bottom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должен перечислить и указать объем каждого документа, входящего в состав каждой части заявки (в страницах).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widowControl w:val="off"/>
        <w:rPr>
          <w:b/>
        </w:rPr>
      </w:pPr>
      <w:r/>
      <w:bookmarkStart w:id="113" w:name="_Toc298234709"/>
      <w:r/>
      <w:bookmarkStart w:id="114" w:name="_Toc255987071"/>
      <w:r/>
      <w:bookmarkStart w:id="115" w:name="_Toc307936259"/>
      <w:r/>
      <w:bookmarkStart w:id="116" w:name="_Toc432676442"/>
      <w:r/>
      <w:bookmarkStart w:id="117" w:name="_Toc441156193"/>
      <w:r/>
      <w:bookmarkStart w:id="118" w:name="_Toc459577586"/>
      <w:r/>
      <w:bookmarkStart w:id="119" w:name="_Toc460329959"/>
      <w:r/>
      <w:bookmarkStart w:id="120" w:name="_Toc464479810"/>
      <w:r/>
      <w:bookmarkStart w:id="121" w:name="_Toc477787586"/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Письмо о подаче оферты</w:t>
      </w:r>
      <w:bookmarkEnd w:id="113"/>
      <w:r/>
      <w:bookmarkEnd w:id="114"/>
      <w:r/>
      <w:bookmarkEnd w:id="115"/>
      <w:r/>
      <w:bookmarkEnd w:id="116"/>
      <w:r/>
      <w:bookmarkEnd w:id="117"/>
      <w:r/>
      <w:bookmarkEnd w:id="118"/>
      <w:r/>
      <w:bookmarkEnd w:id="119"/>
      <w:r/>
      <w:bookmarkEnd w:id="120"/>
      <w:r/>
      <w:bookmarkEnd w:id="121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Фирменный бланк Участника закупки</w:t>
      </w:r>
      <w:r/>
    </w:p>
    <w:p>
      <w:pPr>
        <w:spacing w:after="0"/>
        <w:widowControl w:val="off"/>
      </w:pPr>
      <w:r>
        <w:t xml:space="preserve">  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482"/>
        <w:gridCol w:w="5658"/>
      </w:tblGrid>
      <w:tr>
        <w:trPr/>
        <w:tc>
          <w:tcPr>
            <w:tcW w:w="2210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 «_____»__________го</w:t>
            </w:r>
            <w:r>
              <w:t xml:space="preserve">да №______</w:t>
            </w:r>
            <w:r/>
          </w:p>
        </w:tc>
        <w:tc>
          <w:tcPr>
            <w:tcW w:w="2790" w:type="pc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rPr>
                <w:b/>
              </w:rPr>
              <w:t xml:space="preserve">Секретарю Комиссии</w:t>
            </w:r>
            <w:r>
              <w:t xml:space="preserve"> </w:t>
            </w:r>
            <w:r/>
          </w:p>
          <w:p>
            <w:pPr>
              <w:spacing w:after="0"/>
              <w:widowControl w:val="off"/>
            </w:pPr>
            <w:r>
              <w:t xml:space="preserve">____________________________________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Изучив Документацию и Извещение о проведении Запроса предложений по определению поставщика на _________ ____________________* [указывается предмет закупки], опубликованны</w:t>
      </w:r>
      <w:r>
        <w:t xml:space="preserve">е на официальном сайте,  принимая установленные в них требования и условия закупки, 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____________________________________________________________________*, </w:t>
      </w:r>
      <w:r/>
    </w:p>
    <w:p>
      <w:pPr>
        <w:spacing w:after="0"/>
        <w:widowControl w:val="off"/>
      </w:pPr>
      <w:r>
        <w:t xml:space="preserve">(полное наименование Участника закупки с указанием организационно-правовой формы, а при подаче Зая</w:t>
      </w:r>
      <w:r>
        <w:t xml:space="preserve">вки коллективным участником указывается лидер и состав коллективного участника),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зарегистрированное</w:t>
      </w:r>
      <w:r>
        <w:t xml:space="preserve"> по адресу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________________________________________________________________________,</w:t>
      </w:r>
      <w:r/>
    </w:p>
    <w:p>
      <w:pPr>
        <w:spacing w:after="0"/>
        <w:widowControl w:val="off"/>
      </w:pPr>
      <w:r>
        <w:t xml:space="preserve">(</w:t>
      </w:r>
      <w:r>
        <w:t xml:space="preserve">место нахождение</w:t>
      </w:r>
      <w:r>
        <w:t xml:space="preserve"> Участника закупки)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предлагает заключить Договор на</w:t>
      </w:r>
      <w:r>
        <w:t xml:space="preserve"> условиях и в соответствии с Техническим заданием, Спецификацией на поставку ТМЦ и другими документами, являющимися неотъемлемыми приложениями к настоящему письму и составляющими вместе с настоящим письмом Заявку, на общую сумму</w:t>
      </w:r>
      <w:r/>
    </w:p>
    <w:p>
      <w:pPr>
        <w:spacing w:after="0"/>
        <w:widowControl w:val="off"/>
      </w:pPr>
      <w:r/>
      <w:r/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  <w:rPr>
                <w:b/>
              </w:rPr>
            </w:pPr>
            <w:r>
              <w:rPr>
                <w:b/>
              </w:rPr>
              <w:t xml:space="preserve">Итоговая стоимость заявки </w:t>
            </w:r>
            <w:r>
              <w:rPr>
                <w:b/>
              </w:rPr>
              <w:t xml:space="preserve">с НДС, руб. (либо итоговая стоимость заявки без НДС, если участник применяет упрощенную систему налогообложения)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36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_________________________________*</w:t>
            </w:r>
            <w:r/>
          </w:p>
          <w:p>
            <w:pPr>
              <w:jc w:val="left"/>
              <w:spacing w:after="0"/>
              <w:widowControl w:val="off"/>
              <w:rPr>
                <w:b/>
              </w:rPr>
            </w:pPr>
            <w:r>
              <w:rPr>
                <w:b/>
                <w:vertAlign w:val="superscript"/>
              </w:rPr>
              <w:t xml:space="preserve">(итоговая стоимость, рублей, с НДС)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cantSplit/>
        </w:trPr>
        <w:tc>
          <w:tcPr>
            <w:tcW w:w="5387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в том числе НДС, руб. (либо НДС не облагается</w:t>
            </w:r>
            <w:r/>
          </w:p>
          <w:p>
            <w:pPr>
              <w:jc w:val="left"/>
              <w:spacing w:after="0"/>
              <w:widowControl w:val="off"/>
            </w:pPr>
            <w:r>
              <w:t xml:space="preserve">если участник применяет у</w:t>
            </w:r>
            <w:r>
              <w:t xml:space="preserve">прощенную систему налогообложения)</w:t>
            </w:r>
            <w:r/>
          </w:p>
        </w:tc>
        <w:tc>
          <w:tcPr>
            <w:tcW w:w="4360" w:type="dxa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t xml:space="preserve">_________________________________*</w:t>
            </w:r>
            <w:r/>
          </w:p>
          <w:p>
            <w:pPr>
              <w:jc w:val="left"/>
              <w:spacing w:after="0"/>
              <w:widowControl w:val="off"/>
            </w:pPr>
            <w:r>
              <w:rPr>
                <w:vertAlign w:val="superscript"/>
              </w:rPr>
              <w:t xml:space="preserve">(НДС по итоговой стоимости, рублей)</w:t>
            </w:r>
            <w:r/>
          </w:p>
        </w:tc>
      </w:tr>
    </w:tbl>
    <w:p>
      <w:pPr>
        <w:jc w:val="left"/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Настоящим подтверждаю, что </w:t>
      </w: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Участника)* на дату подачи Заявки применяю следующую систему налогообложения: __________________. </w:t>
      </w:r>
      <w:r>
        <w:rPr>
          <w:i/>
        </w:rPr>
        <w:t xml:space="preserve">(допускается указать один из следующих вариантов: </w:t>
      </w:r>
      <w:r>
        <w:rPr>
          <w:b/>
          <w:i/>
          <w:u w:val="single"/>
        </w:rPr>
        <w:t xml:space="preserve">основную; упрощенную; упрощенную с НДС 5%; упрощенную с НДС 7%</w:t>
      </w:r>
      <w:r>
        <w:t xml:space="preserve">)</w:t>
      </w:r>
      <w:r>
        <w:rPr>
          <w:i/>
        </w:rPr>
        <w:t xml:space="preserve">*</w:t>
      </w:r>
      <w:r/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Настоящая Заявка имеет правовой статус оферты и действует до ________________________* (допускается указание фразы:</w:t>
      </w:r>
      <w:r>
        <w:t xml:space="preserve"> </w:t>
      </w:r>
      <w:r>
        <w:t xml:space="preserve">«В течение 90 дней с </w:t>
      </w:r>
      <w:r>
        <w:t xml:space="preserve">момента срока окончания подачи Заявок»)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rPr>
          <w:bCs/>
          <w:u w:val="single"/>
        </w:rPr>
        <w:t xml:space="preserve">Подачей Заявки Участник заверяет и гарантирует Организатору соответствие всех без исключения характеристик предлагаемой к поставке продукции, а также соответствие сроков </w:t>
      </w:r>
      <w:r>
        <w:rPr>
          <w:bCs/>
          <w:u w:val="single"/>
        </w:rPr>
        <w:t xml:space="preserve">поставки и условий оплаты требованиям Организ</w:t>
      </w:r>
      <w:r>
        <w:rPr>
          <w:bCs/>
          <w:u w:val="single"/>
        </w:rPr>
        <w:t xml:space="preserve">атора.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Данная Заявка подается с пониманием того, что:</w:t>
      </w:r>
      <w:r/>
    </w:p>
    <w:p>
      <w:pPr>
        <w:spacing w:after="0"/>
        <w:widowControl w:val="off"/>
      </w:pPr>
      <w:r>
        <w:t xml:space="preserve"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spacing w:after="0"/>
        <w:widowControl w:val="off"/>
      </w:pPr>
      <w:r>
        <w:t xml:space="preserve">Вы оставл</w:t>
      </w:r>
      <w:r>
        <w:t xml:space="preserve">яете за собой право:</w:t>
      </w:r>
      <w:r/>
    </w:p>
    <w:p>
      <w:pPr>
        <w:spacing w:after="0"/>
        <w:widowControl w:val="off"/>
      </w:pPr>
      <w:r>
        <w:t xml:space="preserve">- отклонить Заявки с ценами, превышающими НМЦ / стоимость одной или нескольких единичных стоимостей / стоимость одного или нескольких договоров (при указании отдельной стоимости для каждого договора в Извещении и (или) Документации о з</w:t>
      </w:r>
      <w:r>
        <w:t xml:space="preserve">акупке);</w:t>
      </w:r>
      <w:r/>
    </w:p>
    <w:p>
      <w:pPr>
        <w:spacing w:after="0"/>
        <w:widowControl w:val="off"/>
      </w:pPr>
      <w:r>
        <w:t xml:space="preserve">- принять или отклонить любую Заявку в соответствии с условиями документации о закупке;</w:t>
      </w:r>
      <w:r/>
    </w:p>
    <w:p>
      <w:pPr>
        <w:spacing w:after="0"/>
        <w:widowControl w:val="off"/>
      </w:pPr>
      <w:r>
        <w:t xml:space="preserve">отклонить все Заявки.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Участника)* </w:t>
      </w:r>
      <w:r>
        <w:t xml:space="preserve">при подаче настоящей оферты принимает на себя следующие обязательства, связанные с подачей Заявки на участие в закупке: </w:t>
      </w:r>
      <w:r/>
    </w:p>
    <w:p>
      <w:pPr>
        <w:spacing w:after="0"/>
        <w:widowControl w:val="off"/>
      </w:pPr>
      <w:r>
        <w:t xml:space="preserve">- 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spacing w:after="0"/>
        <w:widowControl w:val="off"/>
      </w:pPr>
      <w:r>
        <w:t xml:space="preserve">- заключить договор </w:t>
      </w:r>
      <w:r>
        <w:t xml:space="preserve">на условиях и в установленном в Документации о закупке порядке, в случае признания ____________________(Наименование Участника, а при подаче Заявки коллективным Участником указывается лидер и состав коллективного Участника)* Победителем/участником, предлож</w:t>
      </w:r>
      <w:r>
        <w:t xml:space="preserve">ившим  наилучшую Заявку, либо единственным Участником, соответствующим требованиям Документации о закупке;</w:t>
      </w:r>
      <w:r/>
    </w:p>
    <w:p>
      <w:pPr>
        <w:contextualSpacing/>
        <w:spacing w:after="0"/>
        <w:widowControl w:val="off"/>
      </w:pPr>
      <w:r>
        <w:t xml:space="preserve">- предоставить финансовое обеспечение по Договору, заключенному по итогам проведения закупки, в случае признания ____________________(Наименование Уч</w:t>
      </w:r>
      <w:r>
        <w:t xml:space="preserve">астника, а при подаче Заявки коллективным Участником указывается лидер и состав коллективного Участника)* Победителем/участником, предложившим наилучшую Заявку;</w:t>
      </w:r>
      <w:r/>
    </w:p>
    <w:p>
      <w:pPr>
        <w:pStyle w:val="1285"/>
        <w:contextualSpacing/>
        <w:spacing w:before="0"/>
        <w:widowControl w:val="off"/>
        <w:rPr>
          <w:sz w:val="24"/>
        </w:rPr>
      </w:pPr>
      <w:r>
        <w:rPr>
          <w:sz w:val="24"/>
        </w:rPr>
        <w:t xml:space="preserve">-не вступать в отношения и/или совершать какие-либо согласованные действия, которые приводят ил</w:t>
      </w:r>
      <w:r>
        <w:rPr>
          <w:sz w:val="24"/>
        </w:rPr>
        <w:t xml:space="preserve">и могут привести к ограничению конкуренции в рамках закупки.</w:t>
      </w:r>
      <w:r>
        <w:rPr>
          <w:sz w:val="24"/>
        </w:rPr>
      </w:r>
      <w:r>
        <w:rPr>
          <w:sz w:val="24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rFonts w:eastAsia="Arial Unicode MS"/>
        </w:rPr>
      </w:pPr>
      <w:r>
        <w:t xml:space="preserve">______________(Наименование Участника, а при подаче Заявки коллективным участником указывается лидер и состав коллективного Участника)*</w:t>
      </w:r>
      <w:r>
        <w:rPr>
          <w:rFonts w:eastAsia="Arial Unicode MS"/>
        </w:rPr>
        <w:t xml:space="preserve"> при подаче настоящей оферты заверяет Организатора и гарант</w:t>
      </w:r>
      <w:r>
        <w:rPr>
          <w:rFonts w:eastAsia="Arial Unicode MS"/>
        </w:rPr>
        <w:t xml:space="preserve">ирует, что в случае признания Победителем/участником, предложившим  наилучшую Заявку, либо единственным Участником, соответствующим требованиям Документации о закупке: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  <w:rPr>
          <w:rFonts w:eastAsia="Arial Unicode MS"/>
        </w:rPr>
      </w:pPr>
      <w:r>
        <w:rPr>
          <w:rFonts w:eastAsia="Arial Unicode MS"/>
        </w:rPr>
        <w:t xml:space="preserve">- осуществит поставку товаров (выполнит работы, окажет услуги) в сроки, установленные Ор</w:t>
      </w:r>
      <w:r>
        <w:rPr>
          <w:rFonts w:eastAsia="Arial Unicode MS"/>
        </w:rPr>
        <w:t xml:space="preserve">ганизатором в Документации;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  <w:rPr>
          <w:rFonts w:eastAsia="Arial Unicode MS"/>
        </w:rPr>
      </w:pPr>
      <w:r>
        <w:rPr>
          <w:rFonts w:eastAsia="Arial Unicode MS"/>
        </w:rPr>
        <w:t xml:space="preserve">-вправе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</w:t>
      </w:r>
      <w:r>
        <w:rPr>
          <w:rFonts w:eastAsia="Arial Unicode MS"/>
        </w:rPr>
        <w:t xml:space="preserve">полнению Договора;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  <w:rPr>
          <w:rFonts w:eastAsia="Arial Unicode MS"/>
        </w:rPr>
      </w:pPr>
      <w:r>
        <w:rPr>
          <w:rFonts w:eastAsia="Arial Unicode MS"/>
        </w:rPr>
        <w:t xml:space="preserve">-органы/представители Поставщика, заключающие Договор, будут наделены должным образом полномочиями на его заключение, и получат все необходимые разрешения  и/или  одобрения органов управления Подрядчика, и заключением Договора они не нар</w:t>
      </w:r>
      <w:r>
        <w:rPr>
          <w:rFonts w:eastAsia="Arial Unicode MS"/>
        </w:rPr>
        <w:t xml:space="preserve">ушат ни одно из положений уставных, внутренних документов и решений органов управления.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_____________(Наименование Участника, а при подаче Заявки коллективным участником указывается лидер и состав коллективного Участника)*</w:t>
      </w:r>
      <w:r>
        <w:rPr>
          <w:rFonts w:eastAsia="Arial Unicode MS"/>
        </w:rPr>
        <w:t xml:space="preserve"> при подаче настоящей оферты заве</w:t>
      </w:r>
      <w:r>
        <w:rPr>
          <w:rFonts w:eastAsia="Arial Unicode MS"/>
        </w:rPr>
        <w:t xml:space="preserve">ряет Организатора и гарантирует </w:t>
      </w:r>
      <w:r>
        <w:t xml:space="preserve">соблюдение и исполнение принципов, требований Антикоррупционной политики, действующей в ПАО «</w:t>
      </w:r>
      <w:r>
        <w:t xml:space="preserve">Россети</w:t>
      </w:r>
      <w:r>
        <w:t xml:space="preserve"> Московский регион».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Я, нижеподписавшийся, настоящим удостоверяю, что на момент подписания настоящей Заявки ______________ </w:t>
      </w:r>
      <w:r>
        <w:t xml:space="preserve">(Наименование Участника, а при подаче Заявки коллективным участником указывается лидер и состав коллективного участника)* полностью удовлетворяет требованиям </w:t>
      </w:r>
      <w:r>
        <w:t xml:space="preserve">к Участникам закупки и в частности:</w:t>
      </w:r>
      <w:r/>
    </w:p>
    <w:p>
      <w:pPr>
        <w:spacing w:after="0"/>
        <w:widowControl w:val="off"/>
      </w:pPr>
      <w:r>
        <w:t xml:space="preserve">-является полностью правоспособным;</w:t>
      </w:r>
      <w:r/>
    </w:p>
    <w:p>
      <w:pPr>
        <w:spacing w:after="0"/>
        <w:widowControl w:val="off"/>
      </w:pPr>
      <w:r>
        <w:t xml:space="preserve">-является полностью дееспо</w:t>
      </w:r>
      <w:r>
        <w:t xml:space="preserve">собным;</w:t>
      </w:r>
      <w:r/>
    </w:p>
    <w:p>
      <w:pPr>
        <w:spacing w:after="0"/>
        <w:widowControl w:val="off"/>
      </w:pPr>
      <w:r>
        <w:t xml:space="preserve">-обладает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  <w:r/>
    </w:p>
    <w:p>
      <w:pPr>
        <w:spacing w:after="0"/>
        <w:widowControl w:val="off"/>
      </w:pPr>
      <w:r>
        <w:t xml:space="preserve">-соглашается на обработку персональных данных, </w:t>
      </w:r>
      <w:r>
        <w:t xml:space="preserve">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spacing w:after="0"/>
        <w:widowControl w:val="off"/>
      </w:pPr>
      <w:r>
        <w:t xml:space="preserve">-не находится  в процессе ликвидации, не имеет вступившего в силу решения арбитражного суда о признании ________________________(Наи</w:t>
      </w:r>
      <w:r>
        <w:t xml:space="preserve">менование Участника, а при подаче Заявки коллективным участником указывается лидер и состав коллективного участника)*  банкротом и об открытии конкурсного производства, на имущество ________________________(Наименование Участника, а при подаче Заявки колле</w:t>
      </w:r>
      <w:r>
        <w:t xml:space="preserve">ктивным участником указывается лидер и состав коллективного участника)*, в части необходимой для исполнения договора, не наложен арест</w:t>
      </w:r>
      <w:r>
        <w:t xml:space="preserve">, экономическая деятельность  ________________________(Наименование Участника, а при подаче Заявки коллективным участником</w:t>
      </w:r>
      <w:r>
        <w:t xml:space="preserve"> указывается лидер и состав коллективного участника)* не приостановлена.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tbl>
      <w:tblPr>
        <w:tblW w:w="5000" w:type="pct"/>
        <w:tblLook w:val="01E0" w:firstRow="1" w:lastRow="1" w:firstColumn="1" w:lastColumn="1" w:noHBand="0" w:noVBand="0"/>
      </w:tblPr>
      <w:tblGrid>
        <w:gridCol w:w="4014"/>
        <w:gridCol w:w="859"/>
        <w:gridCol w:w="5267"/>
      </w:tblGrid>
      <w:tr>
        <w:trPr/>
        <w:tc>
          <w:tcPr>
            <w:tcBorders>
              <w:bottom w:val="single" w:color="auto" w:sz="4" w:space="0"/>
            </w:tcBorders>
            <w:tcW w:w="1958" w:type="pc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/>
            <w:r/>
          </w:p>
        </w:tc>
        <w:tc>
          <w:tcPr>
            <w:tcW w:w="419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568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/>
        <w:tc>
          <w:tcPr>
            <w:tcBorders>
              <w:top w:val="single" w:color="auto" w:sz="4" w:space="0"/>
            </w:tcBorders>
            <w:tcW w:w="1958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представителя)*</w:t>
            </w:r>
            <w:r/>
          </w:p>
        </w:tc>
        <w:tc>
          <w:tcPr>
            <w:tcW w:w="419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2568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должность)*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следует оформить на официальном бланке Участника закупки, если он является юридическим лицом. В случае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если участник закупки является физическим лицом, в том числе</w:t>
      </w:r>
      <w:r>
        <w:rPr>
          <w:sz w:val="20"/>
          <w:szCs w:val="20"/>
        </w:rPr>
        <w:t xml:space="preserve">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местонахождения. </w:t>
      </w:r>
      <w:r>
        <w:rPr>
          <w:sz w:val="20"/>
          <w:szCs w:val="20"/>
        </w:rPr>
        <w:t xml:space="preserve">Участник закупки, являющийся физическим лицом, в том числе индивидуальным предпринимателем, указыва</w:t>
      </w:r>
      <w:r>
        <w:rPr>
          <w:sz w:val="20"/>
          <w:szCs w:val="20"/>
        </w:rPr>
        <w:t xml:space="preserve">ет полностью фамилию, имя, отчество, паспортные данные, адрес прописки (индивидуальный предприниматель – адрес регистрации).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должен указать срок действия Заявки согласно требованиям Документации о закупке.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должно быть подписано и скреплено печатью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является физическое лицо – он подписывается со</w:t>
      </w:r>
      <w:r>
        <w:rPr>
          <w:sz w:val="20"/>
          <w:szCs w:val="20"/>
        </w:rPr>
        <w:t xml:space="preserve">бственноручно таким Участником. Такое требование по подписания всех приложений к Письму о подаче оферты распространяется на все приложения, оформляемые и подписываемые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17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Все расчеты округляются до двух знаков после запятой.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17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долж</w:t>
      </w:r>
      <w:r>
        <w:rPr>
          <w:sz w:val="20"/>
          <w:szCs w:val="20"/>
        </w:rPr>
        <w:t xml:space="preserve">ен указать общую стоимость заявки цифрами и словами, в рублях величину НДС и вместе с НДС в соответствии с Таблицей-1 (графа «ИТОГО»). Цену следует указывать в формате ХХХ </w:t>
      </w:r>
      <w:r>
        <w:rPr>
          <w:sz w:val="20"/>
          <w:szCs w:val="20"/>
        </w:rPr>
        <w:t xml:space="preserve">ХХХ</w:t>
      </w:r>
      <w:r>
        <w:rPr>
          <w:sz w:val="20"/>
          <w:szCs w:val="20"/>
        </w:rPr>
        <w:t xml:space="preserve"> ХХХ</w:t>
      </w:r>
      <w:r>
        <w:rPr>
          <w:sz w:val="20"/>
          <w:szCs w:val="20"/>
        </w:rPr>
        <w:t xml:space="preserve">,Х</w:t>
      </w:r>
      <w:r>
        <w:rPr>
          <w:sz w:val="20"/>
          <w:szCs w:val="20"/>
        </w:rPr>
        <w:t xml:space="preserve">Х руб.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17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</w:t>
      </w:r>
      <w:r>
        <w:rPr>
          <w:sz w:val="20"/>
          <w:szCs w:val="20"/>
        </w:rPr>
        <w:t xml:space="preserve">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17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текст и формат указанной формы. В случае внесения изменений в форму, заявка участника подлежит отклонению.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left"/>
        <w:spacing w:after="0"/>
        <w:widowControl w:val="off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jc w:val="left"/>
        <w:spacing w:after="0"/>
        <w:widowControl w:val="off"/>
        <w:rPr>
          <w:b/>
        </w:rPr>
      </w:pPr>
      <w:r/>
      <w:bookmarkStart w:id="122" w:name="_Hlt22846931"/>
      <w:r/>
      <w:bookmarkEnd w:id="122"/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</w:t>
      </w:r>
      <w:r>
        <w:rPr>
          <w:b/>
        </w:rPr>
        <w:t xml:space="preserve">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81"/>
        <w:numPr>
          <w:ilvl w:val="0"/>
          <w:numId w:val="0"/>
        </w:numPr>
        <w:spacing w:after="0"/>
        <w:widowControl w:val="off"/>
        <w:rPr>
          <w:b/>
        </w:rPr>
        <w:outlineLvl w:val="2"/>
      </w:pPr>
      <w:r/>
      <w:bookmarkStart w:id="123" w:name="_Toc369600121"/>
      <w:r/>
      <w:bookmarkStart w:id="124" w:name="_Toc369600277"/>
      <w:r/>
      <w:bookmarkStart w:id="125" w:name="_Toc369602005"/>
      <w:r/>
      <w:bookmarkStart w:id="126" w:name="_Toc369605833"/>
      <w:r/>
      <w:bookmarkStart w:id="127" w:name="_Toc525633190"/>
      <w:r/>
      <w:bookmarkStart w:id="128" w:name="_Toc2251048"/>
      <w:r/>
      <w:bookmarkStart w:id="129" w:name="_Toc175749026"/>
      <w:r/>
      <w:bookmarkStart w:id="130" w:name="_Toc98254020"/>
      <w:r/>
      <w:bookmarkStart w:id="131" w:name="_Toc200378404"/>
      <w:r/>
      <w:bookmarkStart w:id="132" w:name="_Toc200440644"/>
      <w:r/>
      <w:bookmarkStart w:id="133" w:name="_Toc200441697"/>
      <w:r/>
      <w:bookmarkStart w:id="134" w:name="_Toc200441848"/>
      <w:r/>
      <w:bookmarkStart w:id="135" w:name="_Toc200597930"/>
      <w:r/>
      <w:bookmarkStart w:id="136" w:name="_Toc202243116"/>
      <w:r/>
      <w:bookmarkStart w:id="137" w:name="_Toc202247503"/>
      <w:r/>
      <w:bookmarkStart w:id="138" w:name="_Toc256433284"/>
      <w:r/>
      <w:bookmarkStart w:id="139" w:name="_Toc280268008"/>
      <w:r/>
      <w:bookmarkStart w:id="140" w:name="_Toc284411054"/>
      <w:r>
        <w:rPr>
          <w:b/>
        </w:rPr>
        <w:t xml:space="preserve">Формат Спецификации на поставку ТМЦ приведен в техническом задании, являющимся неотъемлемой частью Документации о закупке.</w:t>
      </w:r>
      <w:bookmarkEnd w:id="123"/>
      <w:r/>
      <w:bookmarkEnd w:id="124"/>
      <w:r/>
      <w:bookmarkEnd w:id="125"/>
      <w:r/>
      <w:bookmarkEnd w:id="126"/>
      <w:r/>
      <w:bookmarkEnd w:id="127"/>
      <w:r/>
      <w:bookmarkEnd w:id="128"/>
      <w:r>
        <w:rPr>
          <w:b/>
        </w:rPr>
      </w:r>
      <w:r>
        <w:rPr>
          <w:b/>
        </w:rPr>
      </w:r>
    </w:p>
    <w:p>
      <w:pPr>
        <w:pStyle w:val="1081"/>
        <w:numPr>
          <w:ilvl w:val="0"/>
          <w:numId w:val="0"/>
        </w:numPr>
        <w:spacing w:after="0"/>
        <w:widowControl w:val="off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81"/>
        <w:numPr>
          <w:ilvl w:val="0"/>
          <w:numId w:val="0"/>
        </w:numPr>
        <w:spacing w:after="0"/>
        <w:widowControl w:val="off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  <w:sz w:val="20"/>
          <w:szCs w:val="20"/>
        </w:rPr>
      </w:pPr>
      <w:r/>
      <w:bookmarkStart w:id="141" w:name="_Toc369600122"/>
      <w:r/>
      <w:bookmarkStart w:id="142" w:name="_Toc369600278"/>
      <w:r/>
      <w:bookmarkStart w:id="143" w:name="_Toc369602006"/>
      <w:r/>
      <w:bookmarkStart w:id="144" w:name="_Toc369605834"/>
      <w:r/>
      <w:bookmarkStart w:id="145" w:name="_Toc525633191"/>
      <w:r/>
      <w:bookmarkStart w:id="146" w:name="_Toc2251049"/>
      <w:r>
        <w:rPr>
          <w:b/>
          <w:sz w:val="20"/>
          <w:szCs w:val="20"/>
        </w:rPr>
        <w:t xml:space="preserve">Инструкции по заполнению Спецификации на поставку ТМЦ: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Данные инструкции не следует воспроизводить в</w:t>
      </w:r>
      <w:r>
        <w:rPr>
          <w:sz w:val="20"/>
          <w:szCs w:val="20"/>
        </w:rPr>
        <w:t xml:space="preserve"> документах, подготовленных участником;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Участник указывает дату и номер Заявки;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Участник указывает свое фирменное наименование (в </w:t>
      </w:r>
      <w:r>
        <w:rPr>
          <w:sz w:val="20"/>
          <w:szCs w:val="20"/>
        </w:rPr>
        <w:t xml:space="preserve">т.ч</w:t>
      </w:r>
      <w:r>
        <w:rPr>
          <w:sz w:val="20"/>
          <w:szCs w:val="20"/>
        </w:rPr>
        <w:t xml:space="preserve">. организационно-правовую форму) и свой адрес;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В стоимость затрат включаются в том числе все налоги, сборы, отчислени</w:t>
      </w:r>
      <w:r>
        <w:rPr>
          <w:sz w:val="20"/>
          <w:szCs w:val="20"/>
        </w:rPr>
        <w:t xml:space="preserve">я;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Участнику не разрешается разблокировать файл, изменять заблокированные ячейки.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Участник заполняет поля в Спецификации на поставку ТМЦ, доступные для корректировки. В случае внесения изменений в защищенные ячейки заявка участника подлежит отклонению;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Цена за ед. без НДС указывается с точностью до двух знаков;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Общая стоимость позиции с НДС рассчитывается и округляется до двух знаков после запятой, после чего подводится общий итог по всем позициям;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Столбцы </w:t>
      </w:r>
      <w:r>
        <w:rPr>
          <w:b/>
          <w:sz w:val="20"/>
          <w:szCs w:val="20"/>
        </w:rPr>
        <w:t xml:space="preserve">«Цена за ед. в руб. без НДС», «Согласие поставщика с дополнительными условиями», «Производитель», «Гарантийный срок», «Страна происхождения»,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«Включено в реестры, предусмотренные ПП РФ от 23.12.2024 № 1875», «Наименование реестра», «Информация о совокупном</w:t>
      </w:r>
      <w:r>
        <w:rPr>
          <w:b/>
          <w:sz w:val="20"/>
          <w:szCs w:val="20"/>
        </w:rPr>
        <w:t xml:space="preserve"> количестве баллов / об уровне радиоэлектронной продукции»</w:t>
      </w:r>
      <w:r>
        <w:rPr>
          <w:sz w:val="20"/>
          <w:szCs w:val="20"/>
        </w:rPr>
        <w:t xml:space="preserve"> являются обязательными для заполнения участником. Столбец «Производитель» является обязательным для заполнения даже в том случае, если участник закупки является производителем продукции. В случае </w:t>
      </w:r>
      <w:r>
        <w:rPr>
          <w:sz w:val="20"/>
          <w:szCs w:val="20"/>
        </w:rPr>
        <w:t xml:space="preserve">н</w:t>
      </w:r>
      <w:r>
        <w:rPr>
          <w:sz w:val="20"/>
          <w:szCs w:val="20"/>
        </w:rPr>
        <w:t xml:space="preserve">езаполнения</w:t>
      </w:r>
      <w:r>
        <w:rPr>
          <w:sz w:val="20"/>
          <w:szCs w:val="20"/>
        </w:rPr>
        <w:t xml:space="preserve"> (не полного заполнения) любого из указанных столбцов / </w:t>
      </w:r>
      <w:r>
        <w:rPr>
          <w:sz w:val="20"/>
          <w:szCs w:val="20"/>
        </w:rPr>
        <w:t xml:space="preserve">незаполнения</w:t>
      </w:r>
      <w:r>
        <w:rPr>
          <w:sz w:val="20"/>
          <w:szCs w:val="20"/>
        </w:rPr>
        <w:t xml:space="preserve"> отдельных позиций в указанных столбцах / предоставления недостоверных сведений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Столбец </w:t>
      </w:r>
      <w:r>
        <w:rPr>
          <w:b/>
          <w:sz w:val="20"/>
          <w:szCs w:val="20"/>
        </w:rPr>
        <w:t xml:space="preserve">«Предложение Поставщика»</w:t>
      </w:r>
      <w:r>
        <w:rPr>
          <w:sz w:val="20"/>
          <w:szCs w:val="20"/>
        </w:rPr>
        <w:t xml:space="preserve"> является обязательными д</w:t>
      </w:r>
      <w:r>
        <w:rPr>
          <w:sz w:val="20"/>
          <w:szCs w:val="20"/>
        </w:rPr>
        <w:t xml:space="preserve">ля заполнения участником. В нем указываются конкретные параметры, предлагаемой продукции с указанием наименований (торговых марок) и прочих идентификационных характеристик. В случае нарушения порядка заполнения указанного столбца, а также в случае </w:t>
      </w:r>
      <w:r>
        <w:rPr>
          <w:sz w:val="20"/>
          <w:szCs w:val="20"/>
        </w:rPr>
        <w:t xml:space="preserve">незаполн</w:t>
      </w:r>
      <w:r>
        <w:rPr>
          <w:sz w:val="20"/>
          <w:szCs w:val="20"/>
        </w:rPr>
        <w:t xml:space="preserve">ения</w:t>
      </w:r>
      <w:r>
        <w:rPr>
          <w:sz w:val="20"/>
          <w:szCs w:val="20"/>
        </w:rPr>
        <w:t xml:space="preserve"> значения в любой  позиции данного столбца заявка участника подлежит отклонению.;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Под сроком поставки понимается </w:t>
      </w:r>
      <w:r>
        <w:rPr>
          <w:sz w:val="20"/>
          <w:szCs w:val="20"/>
        </w:rPr>
        <w:t xml:space="preserve">дата</w:t>
      </w:r>
      <w:r>
        <w:rPr>
          <w:sz w:val="20"/>
          <w:szCs w:val="20"/>
        </w:rPr>
        <w:t xml:space="preserve"> до которой должна быть осуществлена поставка.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В случае выявления арифметических ошибок при подсчете общих сумм Организатор оставля</w:t>
      </w:r>
      <w:r>
        <w:rPr>
          <w:sz w:val="20"/>
          <w:szCs w:val="20"/>
        </w:rPr>
        <w:t xml:space="preserve">ет за собой право с письменного согласия Участника пересчитать общую сумму.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b/>
          <w:sz w:val="20"/>
          <w:szCs w:val="20"/>
        </w:rPr>
        <w:t xml:space="preserve">Участник обязан в Спецификации на поставку ТМЦ указать наименование страны происхождения поставляемых товаров по каждой единице товара. С целью подтверждения страны происхождения</w:t>
      </w:r>
      <w:r>
        <w:rPr>
          <w:b/>
          <w:sz w:val="20"/>
          <w:szCs w:val="20"/>
        </w:rPr>
        <w:t xml:space="preserve"> товара Участник обязан в Спецификации на поставку ТМЦ отразить нахождение продукции в реестрах, предусмотренных Постановлением Правительства Российской Федерации от 23.12.2024 № 1875 (далее – ПП РФ № 1875 / Постановление) с указанием номера реестровой зап</w:t>
      </w:r>
      <w:r>
        <w:rPr>
          <w:b/>
          <w:sz w:val="20"/>
          <w:szCs w:val="20"/>
        </w:rPr>
        <w:t xml:space="preserve">иси, наименования реестра, информации о совокупном количестве баллов / об уровне радиоэлектронной продукции из соответствующего реестра. 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В случае непредставления / предоставления недостоверных / не полного </w:t>
      </w:r>
      <w:r>
        <w:rPr>
          <w:b/>
          <w:sz w:val="20"/>
          <w:szCs w:val="20"/>
        </w:rPr>
        <w:t xml:space="preserve">предоставления</w:t>
      </w:r>
      <w:r>
        <w:rPr>
          <w:b/>
          <w:sz w:val="20"/>
          <w:szCs w:val="20"/>
        </w:rPr>
        <w:t xml:space="preserve"> / не корректного предоставления вы</w:t>
      </w:r>
      <w:r>
        <w:rPr>
          <w:b/>
          <w:sz w:val="20"/>
          <w:szCs w:val="20"/>
        </w:rPr>
        <w:t xml:space="preserve">шеуказанных сведений заявка такого Участника рассматривается как содержащая предложение о поставке иностранных товаров, такой заявке не предоставляются преимущества в соответствии с ПП РФ № 1875 и такая заявка может быть отклонена по основаниям, предусмотр</w:t>
      </w:r>
      <w:r>
        <w:rPr>
          <w:b/>
          <w:sz w:val="20"/>
          <w:szCs w:val="20"/>
        </w:rPr>
        <w:t xml:space="preserve">енным указанным Постановлением.  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1217"/>
        <w:ind w:left="0" w:firstLine="0"/>
        <w:tabs>
          <w:tab w:val="left" w:pos="142" w:leader="none"/>
        </w:tabs>
        <w:rPr>
          <w:sz w:val="20"/>
        </w:rPr>
      </w:pPr>
      <w:r>
        <w:rPr>
          <w:sz w:val="20"/>
        </w:rPr>
        <w:t xml:space="preserve">- Поля, отмеченные «*»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</w:rPr>
      </w:r>
      <w:r>
        <w:rPr>
          <w:sz w:val="20"/>
        </w:rPr>
      </w:r>
    </w:p>
    <w:p>
      <w:pPr>
        <w:pStyle w:val="1217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Не допускается менять формат указанной формы. В случае внесения изменений в форму,</w:t>
      </w:r>
      <w:r>
        <w:rPr>
          <w:sz w:val="20"/>
          <w:szCs w:val="20"/>
        </w:rPr>
        <w:t xml:space="preserve"> заявка участника подлежит отклонению.</w:t>
      </w:r>
      <w:bookmarkEnd w:id="129"/>
      <w:r/>
      <w:bookmarkEnd w:id="130"/>
      <w:r/>
      <w:bookmarkEnd w:id="131"/>
      <w:r/>
      <w:bookmarkEnd w:id="132"/>
      <w:r/>
      <w:bookmarkEnd w:id="133"/>
      <w:r/>
      <w:bookmarkEnd w:id="134"/>
      <w:r/>
      <w:bookmarkEnd w:id="135"/>
      <w:r/>
      <w:bookmarkEnd w:id="136"/>
      <w:r/>
      <w:bookmarkEnd w:id="137"/>
      <w:r/>
      <w:bookmarkEnd w:id="138"/>
      <w:r/>
      <w:bookmarkEnd w:id="139"/>
      <w:r/>
      <w:bookmarkEnd w:id="140"/>
      <w:r/>
      <w:bookmarkEnd w:id="141"/>
      <w:r/>
      <w:bookmarkEnd w:id="142"/>
      <w:r/>
      <w:bookmarkEnd w:id="143"/>
      <w:r/>
      <w:bookmarkEnd w:id="144"/>
      <w:r/>
      <w:bookmarkEnd w:id="145"/>
      <w:r/>
      <w:bookmarkEnd w:id="146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left"/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/>
      <w:bookmarkStart w:id="147" w:name="_Протокол_разногласий_к"/>
      <w:r/>
      <w:bookmarkEnd w:id="112"/>
      <w:r/>
      <w:bookmarkEnd w:id="147"/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48" w:name="_Анкета_Участника_конкурса"/>
      <w:r/>
      <w:bookmarkStart w:id="149" w:name="_Toc432676447"/>
      <w:r/>
      <w:bookmarkStart w:id="150" w:name="_Toc441156198"/>
      <w:r/>
      <w:bookmarkStart w:id="151" w:name="_Toc459577590"/>
      <w:r/>
      <w:bookmarkStart w:id="152" w:name="_Toc460329963"/>
      <w:r/>
      <w:bookmarkStart w:id="153" w:name="_Toc464479814"/>
      <w:r/>
      <w:bookmarkStart w:id="154" w:name="_Toc477787590"/>
      <w:r/>
      <w:bookmarkStart w:id="155" w:name="_Toc298234715"/>
      <w:r/>
      <w:bookmarkStart w:id="156" w:name="_Toc255987077"/>
      <w:r/>
      <w:bookmarkStart w:id="157" w:name="_Toc307936269"/>
      <w:r/>
      <w:bookmarkEnd w:id="148"/>
      <w:r>
        <w:rPr>
          <w:b/>
        </w:rPr>
        <w:t xml:space="preserve">Анкета Участника закупки</w:t>
      </w:r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/>
      <w:bookmarkEnd w:id="156"/>
      <w:r/>
      <w:bookmarkEnd w:id="157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bookmarkStart w:id="158" w:name="_Toc247081589"/>
      <w:r>
        <w:t xml:space="preserve">Наименование закупки _______________________________________ 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закупки: ________________________________ *</w:t>
      </w:r>
      <w:bookmarkEnd w:id="158"/>
      <w:r/>
      <w:r/>
    </w:p>
    <w:p>
      <w:pPr>
        <w:spacing w:after="0"/>
        <w:widowControl w:val="off"/>
      </w:pPr>
      <w:r/>
      <w:r/>
    </w:p>
    <w:tbl>
      <w:tblPr>
        <w:tblW w:w="4893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65"/>
        <w:gridCol w:w="5815"/>
        <w:gridCol w:w="3543"/>
      </w:tblGrid>
      <w:tr>
        <w:trPr>
          <w:cantSplit/>
          <w:trHeight w:val="240"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№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Наименование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Сведения об Участнике закупки</w:t>
            </w:r>
            <w:r/>
          </w:p>
        </w:tc>
      </w:tr>
      <w:tr>
        <w:trPr>
          <w:cantSplit/>
          <w:trHeight w:val="471"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Фирменное наименование*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2.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Организационно - правовая форма*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3.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4.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Стоимость основных фондов (по ба</w:t>
            </w:r>
            <w:r>
              <w:t xml:space="preserve">лансу последнего завершенного периода)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5.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6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Виды деятельности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7.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ИНН *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8.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ОГРН *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9.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СНИЛС * (для участника – физического лица)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10.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Юридический адрес*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11.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Почтовый адрес*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12.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Фактическое местоположение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13.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14.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15.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Телефоны Участника закупки*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  <w:trHeight w:val="116"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16.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Факс Участника закупки (с указанием кода города)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17.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Адрес электронной почты Участника закупки*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18.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телефона*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cantSplit/>
        </w:trPr>
        <w:tc>
          <w:tcPr>
            <w:tcW w:w="2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19.</w:t>
            </w:r>
            <w:r/>
          </w:p>
        </w:tc>
        <w:tc>
          <w:tcPr>
            <w:tcW w:w="293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Фамилия, Имя и Отчество ответственного лица Участника закупки с указанием должности и контактного телефона*</w:t>
            </w:r>
            <w:r/>
          </w:p>
        </w:tc>
        <w:tc>
          <w:tcPr>
            <w:tcW w:w="1785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1002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представителя)*</w:t>
            </w:r>
            <w:r/>
          </w:p>
        </w:tc>
        <w:tc>
          <w:tcPr>
            <w:tcW w:w="1002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467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должность)*</w:t>
            </w:r>
            <w:r/>
          </w:p>
        </w:tc>
      </w:tr>
    </w:tbl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/>
      <w:bookmarkStart w:id="159" w:name="_Toc307936270"/>
      <w:r>
        <w:rPr>
          <w:b/>
          <w:sz w:val="20"/>
          <w:szCs w:val="20"/>
        </w:rPr>
        <w:t xml:space="preserve">Инструкции по заполнению: 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pStyle w:val="1217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tbl>
      <w:tblPr>
        <w:tblW w:w="5000" w:type="pct"/>
        <w:tblLook w:val="04A0" w:firstRow="1" w:lastRow="0" w:firstColumn="1" w:lastColumn="0" w:noHBand="0" w:noVBand="1"/>
      </w:tblPr>
      <w:tblGrid>
        <w:gridCol w:w="374"/>
        <w:gridCol w:w="401"/>
        <w:gridCol w:w="436"/>
        <w:gridCol w:w="748"/>
        <w:gridCol w:w="506"/>
        <w:gridCol w:w="714"/>
        <w:gridCol w:w="867"/>
        <w:gridCol w:w="387"/>
        <w:gridCol w:w="401"/>
        <w:gridCol w:w="436"/>
        <w:gridCol w:w="963"/>
        <w:gridCol w:w="670"/>
        <w:gridCol w:w="867"/>
        <w:gridCol w:w="742"/>
        <w:gridCol w:w="765"/>
        <w:gridCol w:w="863"/>
      </w:tblGrid>
      <w:tr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9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 </w:t>
            </w:r>
            <w:r>
              <w:rPr>
                <w:rFonts w:ascii="Calibri" w:hAnsi="Calibri" w:cs="Calibri"/>
                <w:color w:val="000000"/>
              </w:rPr>
            </w:r>
            <w:r>
              <w:rPr>
                <w:rFonts w:ascii="Calibri" w:hAnsi="Calibri" w:cs="Calibri"/>
                <w:color w:val="000000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4430" w:type="pct"/>
            <w:vAlign w:val="bottom"/>
            <w:textDirection w:val="lrTb"/>
            <w:noWrap/>
          </w:tcPr>
          <w:p>
            <w:pPr>
              <w:jc w:val="center"/>
              <w:spacing w:after="0"/>
              <w:widowControl w:val="off"/>
            </w:pPr>
            <w:r>
              <w:t xml:space="preserve">Справка о цепочке собственников участника закупочной процедуры, включая бенефициаров (в том числе конечных) *</w:t>
            </w:r>
            <w:r/>
          </w:p>
          <w:p>
            <w:pPr>
              <w:jc w:val="center"/>
              <w:spacing w:after="0"/>
              <w:widowControl w:val="off"/>
              <w:rPr>
                <w:color w:val="000000"/>
              </w:rPr>
            </w:pPr>
            <w:r>
              <w:rPr>
                <w:color w:val="000000"/>
              </w:rPr>
              <w:t xml:space="preserve">_________________________________________________*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spacing w:after="0"/>
              <w:widowControl w:val="off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организации)</w:t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/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49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430" w:type="pct"/>
            <w:vAlign w:val="bottom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 состоянию </w:t>
            </w:r>
            <w:r>
              <w:rPr>
                <w:color w:val="000000"/>
                <w:sz w:val="16"/>
                <w:szCs w:val="16"/>
              </w:rPr>
              <w:t xml:space="preserve">на</w:t>
            </w:r>
            <w:r>
              <w:rPr>
                <w:color w:val="000000"/>
                <w:sz w:val="16"/>
                <w:szCs w:val="16"/>
              </w:rPr>
              <w:t xml:space="preserve">  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rPr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49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430" w:type="pct"/>
            <w:vAlign w:val="bottom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rPr>
          <w:trHeight w:val="331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14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 п./п.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96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18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№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0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</w:t>
            </w:r>
            <w:r>
              <w:rPr>
                <w:bCs/>
                <w:color w:val="000000"/>
                <w:sz w:val="16"/>
                <w:szCs w:val="16"/>
              </w:rPr>
              <w:t xml:space="preserve">/ акционеров/ бенефициаров)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Cs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1.0.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</w:t>
            </w:r>
            <w:r>
              <w:rPr>
                <w:bCs/>
                <w:color w:val="000000"/>
                <w:sz w:val="16"/>
                <w:szCs w:val="16"/>
              </w:rPr>
              <w:t xml:space="preserve">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2.</w:t>
            </w:r>
            <w:r>
              <w:rPr>
                <w:bCs/>
                <w:color w:val="000000"/>
                <w:sz w:val="16"/>
                <w:szCs w:val="16"/>
              </w:rPr>
              <w:t xml:space="preserve">2.0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….</w:t>
            </w:r>
            <w:r>
              <w:rPr>
                <w:bCs/>
                <w:color w:val="000000"/>
                <w:sz w:val="16"/>
                <w:szCs w:val="16"/>
              </w:rPr>
              <w:t xml:space="preserve">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7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4" w:type="pct"/>
            <w:vAlign w:val="bottom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1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</w:tbl>
    <w:p>
      <w:pPr>
        <w:spacing w:after="0"/>
        <w:widowControl w:val="off"/>
        <w:tabs>
          <w:tab w:val="left" w:pos="708" w:leader="none"/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tabs>
          <w:tab w:val="left" w:pos="708" w:leader="none"/>
          <w:tab w:val="left" w:pos="1134" w:leader="none"/>
        </w:tabs>
        <w:rPr>
          <w:bCs/>
        </w:rPr>
      </w:pPr>
      <w:r>
        <w:rPr>
          <w:bCs/>
        </w:rPr>
        <w:t xml:space="preserve">___________________________________                      _____________________________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tabs>
          <w:tab w:val="left" w:pos="708" w:leader="none"/>
          <w:tab w:val="left" w:pos="1134" w:leader="none"/>
        </w:tabs>
      </w:pPr>
      <w:r>
        <w:t xml:space="preserve">(Подпись уполномоченного представителя)*           </w:t>
      </w:r>
      <w:r>
        <w:tab/>
        <w:t xml:space="preserve"> (ФИО и должность подписавшего)*</w:t>
      </w:r>
      <w:r/>
    </w:p>
    <w:p>
      <w:pPr>
        <w:spacing w:after="0"/>
        <w:widowControl w:val="off"/>
        <w:rPr>
          <w:bCs/>
        </w:rPr>
      </w:pPr>
      <w:r>
        <w:rPr>
          <w:bCs/>
        </w:rPr>
        <w:t xml:space="preserve">М.П.</w:t>
      </w:r>
      <w:r>
        <w:rPr>
          <w:bCs/>
        </w:rPr>
      </w:r>
      <w:r>
        <w:rPr>
          <w:bCs/>
        </w:rPr>
      </w:r>
    </w:p>
    <w:p>
      <w:pPr>
        <w:spacing w:after="0"/>
        <w:widowControl w:val="off"/>
        <w:rPr>
          <w:sz w:val="20"/>
          <w:szCs w:val="20"/>
        </w:rPr>
      </w:pPr>
      <w:r>
        <w:t xml:space="preserve">      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 Изменение формы справки не допускается. Участник должен заполнить все поля указанной формы.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</w:t>
      </w:r>
      <w:r>
        <w:rPr>
          <w:sz w:val="20"/>
          <w:szCs w:val="20"/>
        </w:rPr>
        <w:t xml:space="preserve">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Указывается полное наименование юридического лица с расшифровкой организационно-правовой формы.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отношении контрагентов являющихся зарубежными публичными компаниями мир</w:t>
      </w:r>
      <w:r>
        <w:rPr>
          <w:sz w:val="20"/>
          <w:szCs w:val="20"/>
        </w:rPr>
        <w:t xml:space="preserve">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</w:t>
      </w:r>
      <w:r>
        <w:rPr>
          <w:sz w:val="20"/>
          <w:szCs w:val="20"/>
        </w:rPr>
        <w:t xml:space="preserve">я ссылка на общедоступный источник, посредством которого может быть установлена соответствующая информация.</w:t>
      </w:r>
      <w:r>
        <w:rPr>
          <w:sz w:val="20"/>
          <w:szCs w:val="20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 (количество акционер</w:t>
      </w:r>
      <w:r>
        <w:rPr>
          <w:sz w:val="20"/>
          <w:szCs w:val="20"/>
        </w:rPr>
        <w:t xml:space="preserve">ов более 50 должно подтверждаться документально).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случае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если одним или несколькими участниками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</w:t>
      </w:r>
      <w:r>
        <w:rPr>
          <w:sz w:val="20"/>
          <w:szCs w:val="20"/>
        </w:rPr>
        <w:t xml:space="preserve">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Если руководителем юридического лица в цепочке собственн</w:t>
      </w:r>
      <w:r>
        <w:rPr>
          <w:sz w:val="20"/>
          <w:szCs w:val="20"/>
        </w:rPr>
        <w:t xml:space="preserve">иков является управляющая компания, указывается физическое лицо – руководитель управляющей компании.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</w:t>
      </w:r>
      <w:r>
        <w:rPr>
          <w:sz w:val="20"/>
          <w:szCs w:val="20"/>
        </w:rPr>
        <w:tab/>
        <w:t xml:space="preserve">1, 2 и т.д. – собственники (участники, акционеры, бенефициары) участника ТЗП (собственники первого уровня);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1.0, 2.0 и т.д. – руководители организаций - собственников пер</w:t>
      </w:r>
      <w:r>
        <w:rPr>
          <w:sz w:val="20"/>
          <w:szCs w:val="20"/>
        </w:rPr>
        <w:t xml:space="preserve">вого уровня;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1.1, 1.2 и т.д. – собственники (участники, акционеры, бенефициары) 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1.2.0 и т.д. –  руководит</w:t>
      </w:r>
      <w:r>
        <w:rPr>
          <w:sz w:val="20"/>
          <w:szCs w:val="20"/>
        </w:rPr>
        <w:t xml:space="preserve">ели организаций - собственников второго уровня и далее по аналогичной схеме.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***</w:t>
      </w:r>
      <w:r>
        <w:rPr>
          <w:sz w:val="20"/>
          <w:szCs w:val="20"/>
        </w:rPr>
        <w:tab/>
        <w:t xml:space="preserve">в качестве подтверждающих документов должны быть представлены следующие актуальные (выданные не </w:t>
      </w:r>
      <w:r>
        <w:rPr>
          <w:sz w:val="20"/>
          <w:szCs w:val="20"/>
        </w:rPr>
        <w:t xml:space="preserve">позднее</w:t>
      </w:r>
      <w:r>
        <w:rPr>
          <w:sz w:val="20"/>
          <w:szCs w:val="20"/>
        </w:rPr>
        <w:t xml:space="preserve"> чем за 60 дней до срока окончания подачи заявки) документы: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выписка </w:t>
      </w:r>
      <w:r>
        <w:rPr>
          <w:sz w:val="20"/>
          <w:szCs w:val="20"/>
        </w:rPr>
        <w:t xml:space="preserve">из ЕГРЮЛ для каждого юридического лица, указанного в цепочке собственников, выданная соответствующим подразделением Федеральной налоговой службы. </w:t>
      </w:r>
      <w:r>
        <w:rPr>
          <w:sz w:val="20"/>
          <w:szCs w:val="20"/>
        </w:rPr>
        <w:t xml:space="preserve">Допускается предоставление выписки из ЕГРЮЛ в форме электронного документа в соответствии с требованиями дейст</w:t>
      </w:r>
      <w:r>
        <w:rPr>
          <w:sz w:val="20"/>
          <w:szCs w:val="20"/>
        </w:rPr>
        <w:t xml:space="preserve">вующего законодательства РФ </w:t>
      </w:r>
      <w:r>
        <w:rPr>
          <w:i/>
          <w:sz w:val="20"/>
          <w:szCs w:val="20"/>
        </w:rPr>
        <w:t xml:space="preserve">(в случае отсутствия в составе заявки выписки из ЕГРЮЛ/ЕГРИП Организатор руководствуется  сведениями об участнике, размещенными на сайте ФНС России: egrul.nalog.ru)</w:t>
      </w:r>
      <w:r>
        <w:rPr>
          <w:sz w:val="20"/>
          <w:szCs w:val="20"/>
        </w:rPr>
        <w:t xml:space="preserve">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выписка из ЕГРИП для каждого индивидуального предпринимателя</w:t>
      </w:r>
      <w:r>
        <w:rPr>
          <w:sz w:val="20"/>
          <w:szCs w:val="20"/>
        </w:rPr>
        <w:t xml:space="preserve">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 </w:t>
      </w:r>
      <w:r>
        <w:rPr>
          <w:i/>
          <w:sz w:val="20"/>
          <w:szCs w:val="20"/>
        </w:rPr>
        <w:t xml:space="preserve">(в случае </w:t>
      </w:r>
      <w:r>
        <w:rPr>
          <w:i/>
          <w:sz w:val="20"/>
          <w:szCs w:val="20"/>
        </w:rPr>
        <w:t xml:space="preserve">отсутствия в составе заявки выписки из ЕГРЮЛ/ЕГРИП Организатор руководствуется  сведениями об участнике, размещенными на сайте ФНС России: egrul.nalog.ru)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sz w:val="20"/>
          <w:szCs w:val="20"/>
        </w:rPr>
        <w:t xml:space="preserve">в</w:t>
      </w:r>
      <w:r>
        <w:rPr>
          <w:sz w:val="20"/>
          <w:szCs w:val="20"/>
        </w:rPr>
        <w:t xml:space="preserve">ыписка из реестра акционеров (список лиц, зарегистрированных в реестре владельцев ценных бумаг) д</w:t>
      </w:r>
      <w:r>
        <w:rPr>
          <w:sz w:val="20"/>
          <w:szCs w:val="20"/>
        </w:rPr>
        <w:t xml:space="preserve">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подтверждающие документы по каждому юридическому лицу в цепочке собств</w:t>
      </w:r>
      <w:r>
        <w:rPr>
          <w:sz w:val="20"/>
          <w:szCs w:val="20"/>
        </w:rPr>
        <w:t xml:space="preserve">енников, зарегистрированному на территории иностранных государств (выданные не ранее 60 дней до срока окончания подачи заявки), с подтверждением информации по его руководителю, участникам/учредителям/акционерам и т.д., оформленные согласно законодательству</w:t>
      </w:r>
      <w:r>
        <w:rPr>
          <w:sz w:val="20"/>
          <w:szCs w:val="20"/>
        </w:rPr>
        <w:t xml:space="preserve"> соответствующего иностранного государства и легализованные на территории Российской Федерации.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Непредоставление</w:t>
      </w:r>
      <w:r>
        <w:rPr>
          <w:sz w:val="20"/>
          <w:szCs w:val="20"/>
        </w:rPr>
        <w:t xml:space="preserve"> Участником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Раскрытие информации должно быть </w:t>
      </w:r>
      <w:r>
        <w:rPr>
          <w:sz w:val="20"/>
          <w:szCs w:val="20"/>
        </w:rPr>
        <w:t xml:space="preserve">выполнено Участником закупочной процедуры до конечных бенефициаров (физических лиц) по нижеприведенной схеме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sectPr>
          <w:footerReference w:type="default" r:id="rId11"/>
          <w:footnotePr>
            <w:numRestart w:val="eachPage"/>
          </w:footnotePr>
          <w:endnotePr/>
          <w:type w:val="nextColumn"/>
          <w:pgSz w:w="11909" w:h="16834" w:orient="portrait"/>
          <w:pgMar w:top="1134" w:right="851" w:bottom="567" w:left="1134" w:header="567" w:footer="567" w:gutter="0"/>
          <w:cols w:num="1" w:sep="0" w:space="60" w:equalWidth="1"/>
          <w:docGrid w:linePitch="360"/>
          <w:titlePg/>
        </w:sectPr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sectPr>
          <w:footnotePr>
            <w:numRestart w:val="eachPage"/>
          </w:footnotePr>
          <w:endnotePr/>
          <w:type w:val="nextPage"/>
          <w:pgSz w:w="11909" w:h="16834" w:orient="portrait"/>
          <w:pgMar w:top="1021" w:right="737" w:bottom="357" w:left="1134" w:header="567" w:footer="567" w:gutter="0"/>
          <w:cols w:num="1" w:sep="0" w:space="60" w:equalWidth="1"/>
          <w:docGrid w:linePitch="360"/>
          <w:titlePg/>
        </w:sectPr>
      </w:pPr>
      <w:r>
        <w:object w:dxaOrig="0" w:dyaOrig="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2" o:spid="_x0000_s2" type="#_x0000_t75" style="position:absolute;z-index:251659264;o:allowoverlap:true;o:allowincell:true;mso-position-horizontal-relative:text;margin-left:-4.75pt;mso-position-horizontal:absolute;mso-position-vertical-relative:text;margin-top:0.55pt;mso-position-vertical:absolute;width:497.70pt;height:320.25pt;mso-wrap-distance-left:9.00pt;mso-wrap-distance-top:0.00pt;mso-wrap-distance-right:9.00pt;mso-wrap-distance-bottom:0.00pt;" filled="f" stroked="f">
            <v:path textboxrect="0,0,0,0"/>
            <w10:wrap type="square"/>
            <v:imagedata r:id="rId18" o:title=""/>
          </v:shape>
          <o:OLEObject DrawAspect="Content" r:id="rId19" ObjectID="_1525042" ProgID="AcroExch.Document.11" ShapeID="_x0000_i2" Type="Embed"/>
        </w:object>
      </w:r>
      <w:bookmarkEnd w:id="159"/>
      <w:r/>
      <w:r/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tabs>
          <w:tab w:val="left" w:pos="0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</w:rPr>
      </w:pPr>
      <w:r>
        <w:rPr>
          <w:b/>
        </w:rPr>
        <w:t xml:space="preserve">Согласие на обработку персональных данных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tabs>
          <w:tab w:val="left" w:pos="0" w:leader="none"/>
        </w:tabs>
        <w:rPr>
          <w:b/>
        </w:rPr>
      </w:pPr>
      <w:r>
        <w:rPr>
          <w:b/>
        </w:rPr>
        <w:t xml:space="preserve">от «_____» ____________ 20____ г.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Настоящим, ________________________________________________________,</w:t>
      </w:r>
      <w:r/>
    </w:p>
    <w:p>
      <w:pPr>
        <w:jc w:val="center"/>
        <w:spacing w:after="0"/>
        <w:widowControl w:val="off"/>
        <w:rPr>
          <w:b/>
          <w:i/>
        </w:rPr>
      </w:pPr>
      <w:r>
        <w:rPr>
          <w:b/>
          <w:i/>
        </w:rPr>
        <w:t xml:space="preserve">(указывается</w:t>
      </w:r>
      <w:r>
        <w:t xml:space="preserve"> </w:t>
      </w:r>
      <w:r>
        <w:rPr>
          <w:b/>
          <w:i/>
        </w:rPr>
        <w:t xml:space="preserve">полное наименование участника закупочной процедуры)</w:t>
      </w:r>
      <w:r>
        <w:rPr>
          <w:b/>
          <w:i/>
        </w:rPr>
      </w:r>
      <w:r>
        <w:rPr>
          <w:b/>
          <w:i/>
        </w:rPr>
      </w:r>
    </w:p>
    <w:p>
      <w:pPr>
        <w:jc w:val="center"/>
        <w:spacing w:after="0"/>
        <w:widowControl w:val="off"/>
      </w:pPr>
      <w:r>
        <w:rPr>
          <w:b/>
          <w:i/>
        </w:rPr>
        <w:t xml:space="preserve">___________________________________________________________________________________</w:t>
      </w:r>
      <w:r/>
    </w:p>
    <w:p>
      <w:pPr>
        <w:spacing w:after="0"/>
        <w:widowControl w:val="off"/>
      </w:pPr>
      <w:r>
        <w:t xml:space="preserve">Адрес регистрации: _________________</w:t>
      </w:r>
      <w:r>
        <w:t xml:space="preserve">______________________________________,</w:t>
      </w:r>
      <w:r/>
    </w:p>
    <w:p>
      <w:pPr>
        <w:spacing w:after="0"/>
        <w:widowControl w:val="off"/>
        <w:rPr>
          <w:b/>
          <w:i/>
        </w:rPr>
      </w:pPr>
      <w:r>
        <w:t xml:space="preserve">Свидетельство о регистрации: ______________________________________________ </w:t>
      </w:r>
      <w:r>
        <w:rPr>
          <w:b/>
          <w:i/>
        </w:rPr>
        <w:t xml:space="preserve">ИНН__________________________</w:t>
      </w:r>
      <w:r>
        <w:rPr>
          <w:b/>
          <w:i/>
        </w:rPr>
      </w:r>
      <w:r>
        <w:rPr>
          <w:b/>
          <w:i/>
        </w:rPr>
      </w:r>
    </w:p>
    <w:p>
      <w:pPr>
        <w:spacing w:after="0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  <w:r>
        <w:rPr>
          <w:b/>
          <w:i/>
        </w:rPr>
      </w:r>
    </w:p>
    <w:p>
      <w:pPr>
        <w:spacing w:after="0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spacing w:after="0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</w:t>
      </w:r>
      <w:r>
        <w:rPr>
          <w:b/>
          <w:i/>
        </w:rPr>
      </w:r>
      <w:r>
        <w:rPr>
          <w:b/>
          <w:i/>
        </w:rPr>
      </w:r>
    </w:p>
    <w:p>
      <w:pPr>
        <w:spacing w:after="0"/>
        <w:widowControl w:val="off"/>
        <w:rPr>
          <w:b/>
          <w:bCs/>
          <w:i/>
          <w:iCs/>
        </w:rPr>
      </w:pPr>
      <w:r>
        <w:rPr>
          <w:b/>
          <w:i/>
        </w:rPr>
        <w:t xml:space="preserve">(указывается Ф.И.О.,</w:t>
      </w:r>
      <w:r>
        <w:rPr>
          <w:b/>
          <w:i/>
          <w:iCs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  <w:iCs/>
        </w:rPr>
        <w:t xml:space="preserve">_____________________________________________________________________________________,</w:t>
      </w:r>
      <w:r/>
    </w:p>
    <w:p>
      <w:pPr>
        <w:spacing w:after="0"/>
        <w:widowControl w:val="off"/>
        <w:rPr>
          <w:b/>
          <w:bCs/>
          <w:i/>
          <w:iCs/>
        </w:rPr>
      </w:pPr>
      <w:r>
        <w:rPr>
          <w:b/>
          <w:i/>
          <w:iCs/>
        </w:rPr>
        <w:t xml:space="preserve">сведения о дате</w:t>
      </w:r>
      <w:r>
        <w:rPr>
          <w:b/>
          <w:i/>
          <w:iCs/>
        </w:rPr>
        <w:t xml:space="preserve"> выдачи указанного документа и выдавшем его органе)*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</w:rPr>
        <w:t xml:space="preserve">действующего на основании _____________________________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Публичному акционерному обществу  «</w:t>
      </w:r>
      <w:r>
        <w:rPr>
          <w:b/>
        </w:rPr>
        <w:t xml:space="preserve">Россети</w:t>
      </w:r>
      <w:r>
        <w:rPr>
          <w:b/>
        </w:rPr>
        <w:t xml:space="preserve"> Московский регион»», </w:t>
      </w:r>
      <w:r>
        <w:t xml:space="preserve">зарегистрированному по адресу: г. Москва, 2-й Павелецкий пр., д</w:t>
      </w:r>
      <w:r>
        <w:t xml:space="preserve">. 3, стр. 2,</w:t>
      </w:r>
      <w:r>
        <w:rPr>
          <w:b/>
          <w:i/>
        </w:rPr>
        <w:t xml:space="preserve"> </w:t>
      </w:r>
      <w:r>
        <w:t xml:space="preserve">и</w:t>
      </w:r>
      <w:r>
        <w:rPr>
          <w:i/>
        </w:rPr>
        <w:t xml:space="preserve"> </w:t>
      </w:r>
      <w:r>
        <w:rPr>
          <w:b/>
        </w:rPr>
        <w:t xml:space="preserve">ПАО «</w:t>
      </w:r>
      <w:r>
        <w:rPr>
          <w:b/>
        </w:rPr>
        <w:t xml:space="preserve">Россети</w:t>
      </w:r>
      <w:r>
        <w:rPr>
          <w:b/>
        </w:rPr>
        <w:t xml:space="preserve">»</w:t>
      </w:r>
      <w:r>
        <w:t xml:space="preserve">, зарегистрированному по адресу: г. Москва, ул. Беловежская, 4,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</w:t>
      </w:r>
      <w:r>
        <w:t xml:space="preserve"> конечных бенефициаров, участника закупки (потенциального контрагента</w:t>
      </w:r>
      <w:r>
        <w:t xml:space="preserve">)/ </w:t>
      </w:r>
      <w:r>
        <w:t xml:space="preserve">контрагента/ планируемых к привлечению </w:t>
      </w:r>
      <w:r>
        <w:t xml:space="preserve">субконтрагентов</w:t>
      </w:r>
      <w:r>
        <w:t xml:space="preserve">: фамилия имя отчество, серия и номер документа, удостоверяющего личность, сведения о дате выдачи указанного документа и выдавшем </w:t>
      </w:r>
      <w:r>
        <w:t xml:space="preserve">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</w:t>
      </w:r>
      <w:r>
        <w:t xml:space="preserve">дарственные органы (Минэнерго</w:t>
      </w:r>
      <w:r>
        <w:t xml:space="preserve"> </w:t>
      </w:r>
      <w:r>
        <w:t xml:space="preserve">России, </w:t>
      </w:r>
      <w:r>
        <w:t xml:space="preserve">Росфинмониторинг</w:t>
      </w:r>
      <w: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/>
    </w:p>
    <w:p>
      <w:pPr>
        <w:spacing w:after="0"/>
        <w:widowControl w:val="off"/>
      </w:pPr>
      <w:r>
        <w:t xml:space="preserve">Цель обработки персональны</w:t>
      </w:r>
      <w:r>
        <w:t xml:space="preserve">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</w:t>
      </w:r>
      <w:r>
        <w:t xml:space="preserve">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</w:t>
      </w:r>
      <w:r>
        <w:t xml:space="preserve">ительства</w:t>
      </w:r>
      <w: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spacing w:after="0"/>
        <w:widowControl w:val="off"/>
        <w:rPr>
          <w:color w:val="000000"/>
        </w:rPr>
      </w:pPr>
      <w:r>
        <w:t xml:space="preserve">Срок, в течение которого действует настоящее согласие: со дня его подписан</w:t>
      </w:r>
      <w:r>
        <w:t xml:space="preserve">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</w:rPr>
      </w:r>
      <w:r>
        <w:rPr>
          <w:color w:val="000000"/>
        </w:rPr>
      </w:r>
    </w:p>
    <w:p>
      <w:pPr>
        <w:spacing w:after="0"/>
        <w:widowControl w:val="off"/>
        <w:rPr>
          <w:color w:val="000000"/>
        </w:rPr>
      </w:pPr>
      <w:r>
        <w:rPr>
          <w:color w:val="000000"/>
        </w:rPr>
        <w:t xml:space="preserve">_____________________________               </w:t>
      </w:r>
      <w:r>
        <w:rPr>
          <w:color w:val="000000"/>
        </w:rPr>
        <w:t xml:space="preserve">                  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contextualSpacing/>
        <w:spacing w:after="0"/>
        <w:widowControl w:val="off"/>
      </w:pPr>
      <w:r>
        <w:t xml:space="preserve">(Подпись субъекта персональных данных/                 (Ф.И.О. и должность подписавшего*)</w:t>
      </w:r>
      <w:r/>
    </w:p>
    <w:p>
      <w:pPr>
        <w:contextualSpacing/>
        <w:spacing w:after="0"/>
        <w:widowControl w:val="off"/>
      </w:pPr>
      <w:r>
        <w:t xml:space="preserve">уполномоченного представителя</w:t>
      </w:r>
      <w:r>
        <w:rPr>
          <w:sz w:val="26"/>
          <w:szCs w:val="26"/>
        </w:rPr>
        <w:t xml:space="preserve">) *                                               </w:t>
      </w:r>
      <w:r/>
    </w:p>
    <w:p>
      <w:pPr>
        <w:spacing w:after="0"/>
        <w:widowControl w:val="off"/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 Указывается фамилия, имя, отчес</w:t>
      </w:r>
      <w:r>
        <w:rPr>
          <w:sz w:val="20"/>
          <w:szCs w:val="20"/>
        </w:rPr>
        <w:t xml:space="preserve">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</w:t>
      </w:r>
      <w:r>
        <w:rPr>
          <w:sz w:val="20"/>
          <w:szCs w:val="20"/>
        </w:rPr>
        <w:t xml:space="preserve">имя, отчество, адрес представителя субъекта персональных данных, номер основного д</w:t>
      </w:r>
      <w:r>
        <w:rPr>
          <w:sz w:val="20"/>
          <w:szCs w:val="20"/>
        </w:rPr>
        <w:t xml:space="preserve">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</w:t>
      </w:r>
      <w:r>
        <w:rPr>
          <w:sz w:val="20"/>
          <w:szCs w:val="20"/>
        </w:rPr>
        <w:t xml:space="preserve">ьных данных)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** При заключении договоров 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регион», ДЗО 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20"/>
          <w:szCs w:val="20"/>
        </w:rPr>
        <w:t xml:space="preserve">субконтрагентов</w:t>
      </w:r>
      <w:r>
        <w:rPr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1909" w:h="16834" w:orient="portrait"/>
          <w:pgMar w:top="284" w:right="738" w:bottom="360" w:left="1134" w:header="720" w:footer="720" w:gutter="0"/>
          <w:cols w:num="1" w:sep="0" w:space="60" w:equalWidth="1"/>
          <w:docGrid w:linePitch="360"/>
        </w:sectPr>
      </w:pPr>
      <w:r>
        <w:rPr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</w:t>
      </w:r>
      <w:r>
        <w:rPr>
          <w:sz w:val="20"/>
          <w:szCs w:val="20"/>
        </w:rPr>
        <w:t xml:space="preserve">елях, акционерах) и бенефициарах исключает ответственность ПАО 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», 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регион», ДЗО 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 перед руководителем, собственником (участником, учредителем, акционером), а также бенефициаром участника закупки </w:t>
      </w:r>
      <w:r>
        <w:rPr>
          <w:sz w:val="20"/>
          <w:szCs w:val="20"/>
        </w:rPr>
        <w:t xml:space="preserve">/ контрагента / их </w:t>
      </w:r>
      <w:r>
        <w:rPr>
          <w:sz w:val="20"/>
          <w:szCs w:val="20"/>
        </w:rPr>
        <w:t xml:space="preserve">субконтрагентов</w:t>
      </w:r>
      <w:r>
        <w:rPr>
          <w:sz w:val="20"/>
          <w:szCs w:val="20"/>
        </w:rPr>
        <w:t xml:space="preserve"> за предоставление Обществу данных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 руководителе, собственниках (участниках, учредителях, акционерах), в том числе бенефициарах и бенефициарах своего </w:t>
      </w:r>
      <w:r>
        <w:rPr>
          <w:sz w:val="20"/>
          <w:szCs w:val="20"/>
        </w:rPr>
        <w:t xml:space="preserve">субконтрагента</w:t>
      </w:r>
      <w:r>
        <w:rPr>
          <w:sz w:val="20"/>
          <w:szCs w:val="20"/>
        </w:rPr>
        <w:t xml:space="preserve">, и предполагает, что участник закупки (потенциальный кон</w:t>
      </w:r>
      <w:r>
        <w:rPr>
          <w:sz w:val="20"/>
          <w:szCs w:val="20"/>
        </w:rPr>
        <w:t xml:space="preserve">трагент) / контрагент получил у руководителя, своих бенефициаров и бенефициаров своих </w:t>
      </w:r>
      <w:r>
        <w:rPr>
          <w:sz w:val="20"/>
          <w:szCs w:val="20"/>
        </w:rPr>
        <w:t xml:space="preserve">субконтрагентов</w:t>
      </w:r>
      <w:r>
        <w:rPr>
          <w:sz w:val="20"/>
          <w:szCs w:val="20"/>
        </w:rPr>
        <w:t xml:space="preserve"> согласие на представление (обработку) 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», 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регион», ДЗО 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 и в уполномоченные государственн</w:t>
      </w:r>
      <w:r>
        <w:rPr>
          <w:sz w:val="20"/>
          <w:szCs w:val="20"/>
        </w:rPr>
        <w:t xml:space="preserve">ые органы указанных сведений.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60" w:name="_Toc368934344"/>
      <w:r>
        <w:rPr>
          <w:b/>
        </w:rPr>
        <w:t xml:space="preserve">Справка о перечне и объемах выполнения аналогичных предмету закупки договоров</w:t>
      </w:r>
      <w:bookmarkEnd w:id="160"/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</w:rPr>
      </w:pPr>
      <w:r>
        <w:rPr>
          <w:b/>
        </w:rP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</w:t>
      </w:r>
      <w:r>
        <w:rPr>
          <w:i/>
          <w:color w:val="000000"/>
          <w:highlight w:val="lightGray"/>
        </w:rPr>
        <w:t xml:space="preserve">  наличия в техническом задании дополнительных услуг: </w:t>
      </w:r>
      <w:r>
        <w:rPr>
          <w:i/>
          <w:color w:val="000000"/>
          <w:highlight w:val="lightGray"/>
        </w:rPr>
        <w:t xml:space="preserve">шеф-монтаж</w:t>
      </w:r>
      <w:r>
        <w:rPr>
          <w:i/>
          <w:color w:val="000000"/>
          <w:highlight w:val="lightGray"/>
        </w:rPr>
        <w:t xml:space="preserve">/надзор/наладка и т. п. и (или) </w:t>
      </w:r>
      <w:r>
        <w:rPr>
          <w:i/>
          <w:highlight w:val="lightGray"/>
        </w:rPr>
        <w:t xml:space="preserve">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b/>
        </w:rPr>
        <w:t xml:space="preserve">]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Наименование закупки _______________</w:t>
      </w:r>
      <w:r>
        <w:t xml:space="preserve">________________________ 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закупки: ________________________________ *</w:t>
      </w:r>
      <w:r/>
    </w:p>
    <w:p>
      <w:pPr>
        <w:spacing w:after="0"/>
        <w:widowControl w:val="off"/>
        <w:rPr>
          <w:bCs/>
        </w:rPr>
      </w:pPr>
      <w:r/>
      <w:bookmarkStart w:id="161" w:name="_Ref55336389"/>
      <w:r/>
      <w:bookmarkStart w:id="162" w:name="_Toc57314677"/>
      <w:r/>
      <w:bookmarkStart w:id="163" w:name="_Toc69728991"/>
      <w:r/>
      <w:bookmarkStart w:id="164" w:name="_Toc98251777"/>
      <w:r>
        <w:rPr>
          <w:bCs/>
        </w:rPr>
      </w:r>
      <w:r>
        <w:rPr>
          <w:bCs/>
        </w:rPr>
      </w:r>
    </w:p>
    <w:tbl>
      <w:tblPr>
        <w:tblW w:w="14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520"/>
        <w:gridCol w:w="2520"/>
        <w:gridCol w:w="1955"/>
        <w:gridCol w:w="1979"/>
        <w:gridCol w:w="1264"/>
        <w:gridCol w:w="1813"/>
        <w:gridCol w:w="1638"/>
      </w:tblGrid>
      <w:tr>
        <w:trPr>
          <w:cantSplit/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№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</w:t>
            </w:r>
            <w:r>
              <w:rPr>
                <w:bCs/>
                <w:sz w:val="20"/>
              </w:rPr>
              <w:t xml:space="preserve">/п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ФИО, должность руководителя проекта, непосредственного Участника*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Сроки выполнения (год и месяц начала выполнения - год и месяц фактического или планируемого окончания выполнения)*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Описание договора (объем, описание основных условий договора)/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  <w:p>
            <w:pPr>
              <w:jc w:val="center"/>
              <w:spacing w:after="0"/>
              <w:widowControl w:val="off"/>
              <w:rPr>
                <w:rStyle w:val="1279"/>
                <w:b w:val="0"/>
                <w:i w:val="0"/>
                <w:iCs w:val="0"/>
                <w:sz w:val="20"/>
              </w:rPr>
            </w:pPr>
            <w:r>
              <w:rPr>
                <w:bCs/>
                <w:sz w:val="20"/>
              </w:rPr>
              <w:t xml:space="preserve">Наименование проекта *</w:t>
            </w:r>
            <w:r>
              <w:rPr>
                <w:rStyle w:val="1279"/>
                <w:b w:val="0"/>
                <w:i w:val="0"/>
                <w:iCs w:val="0"/>
                <w:sz w:val="20"/>
              </w:rPr>
            </w:r>
            <w:r>
              <w:rPr>
                <w:rStyle w:val="1279"/>
                <w:b w:val="0"/>
                <w:i w:val="0"/>
                <w:iCs w:val="0"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Заказчик проекта </w:t>
            </w:r>
            <w:r>
              <w:rPr>
                <w:bCs/>
                <w:sz w:val="20"/>
              </w:rPr>
              <w:br/>
              <w:t xml:space="preserve">(наименование, адрес, контактное лицо</w:t>
            </w:r>
            <w:r>
              <w:rPr>
                <w:bCs/>
                <w:sz w:val="20"/>
              </w:rPr>
              <w:t xml:space="preserve"> с указанием должности, контактные телефоны)*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Сумма договора, рублей*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Сведения о рекламациях по перечисленным договорам*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Примечание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rPr>
          <w:cantSplit/>
          <w:jc w:val="center"/>
          <w:trHeight w:val="284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rPr>
          <w:cantSplit/>
          <w:jc w:val="center"/>
          <w:trHeight w:val="284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rPr>
          <w:cantSplit/>
          <w:jc w:val="center"/>
          <w:trHeight w:val="284"/>
          <w:tblHeader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</w:t>
            </w:r>
            <w:r>
              <w:rPr>
                <w:b/>
                <w:bCs/>
                <w:sz w:val="20"/>
              </w:rPr>
              <w:t xml:space="preserve">за полный год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rPr>
          <w:cantSplit/>
          <w:jc w:val="center"/>
          <w:trHeight w:val="41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</w:t>
            </w:r>
            <w:r>
              <w:rPr>
                <w:b/>
                <w:bCs/>
                <w:sz w:val="20"/>
              </w:rPr>
              <w:t xml:space="preserve">за полный год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rPr>
          <w:cantSplit/>
          <w:jc w:val="center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20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5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rPr>
          <w:cantSplit/>
          <w:jc w:val="center"/>
          <w:trHeight w:val="284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 за </w: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rPr>
          <w:cantSplit/>
          <w:jc w:val="center"/>
          <w:trHeight w:val="362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aps/>
                <w:sz w:val="20"/>
              </w:rPr>
            </w:pPr>
            <w:r>
              <w:rPr>
                <w:b/>
                <w:bCs/>
                <w:caps/>
                <w:sz w:val="20"/>
              </w:rPr>
              <w:t xml:space="preserve">Всего:</w:t>
            </w:r>
            <w:r>
              <w:rPr>
                <w:b/>
                <w:bCs/>
                <w:caps/>
                <w:sz w:val="20"/>
              </w:rPr>
            </w:r>
            <w:r>
              <w:rPr>
                <w:b/>
                <w:bCs/>
                <w:cap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64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3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Х</w:t>
            </w: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</w:tbl>
    <w:tbl>
      <w:tblPr>
        <w:tblpPr w:horzAnchor="margin" w:tblpXSpec="center" w:vertAnchor="text" w:tblpY="170" w:leftFromText="180" w:topFromText="0" w:rightFromText="180" w:bottomFromText="0"/>
        <w:tblW w:w="13080" w:type="dxa"/>
        <w:tblLayout w:type="fixed"/>
        <w:tblLook w:val="01E0" w:firstRow="1" w:lastRow="1" w:firstColumn="1" w:lastColumn="1" w:noHBand="0" w:noVBand="0"/>
      </w:tblPr>
      <w:tblGrid>
        <w:gridCol w:w="5400"/>
        <w:gridCol w:w="1680"/>
        <w:gridCol w:w="6000"/>
      </w:tblGrid>
      <w:tr>
        <w:trPr/>
        <w:tc>
          <w:tcPr>
            <w:tcBorders>
              <w:bottom w:val="single" w:color="auto" w:sz="4" w:space="0"/>
            </w:tcBorders>
            <w:tcW w:w="54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68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single" w:color="auto" w:sz="4" w:space="0"/>
            </w:tcBorders>
            <w:tcW w:w="60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rPr/>
        <w:tc>
          <w:tcPr>
            <w:tcBorders>
              <w:top w:val="single" w:color="auto" w:sz="4" w:space="0"/>
            </w:tcBorders>
            <w:tcW w:w="54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(подпись уполномоченного представителя)*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68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single" w:color="auto" w:sz="4" w:space="0"/>
            </w:tcBorders>
            <w:tcW w:w="6000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(фамилия, имя, отчество </w:t>
            </w:r>
            <w:r>
              <w:rPr>
                <w:sz w:val="20"/>
              </w:rPr>
              <w:t xml:space="preserve">подписавшего</w:t>
            </w:r>
            <w:r>
              <w:rPr>
                <w:sz w:val="20"/>
              </w:rPr>
              <w:t xml:space="preserve">, должность)*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spacing w:after="0"/>
        <w:widowControl w:val="off"/>
      </w:pPr>
      <w:r>
        <w:rPr>
          <w:b/>
        </w:rPr>
        <w:t xml:space="preserve">М.П.</w:t>
      </w:r>
      <w:r/>
    </w:p>
    <w:p>
      <w:pPr>
        <w:spacing w:after="0"/>
        <w:widowControl w:val="off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</w:t>
      </w:r>
      <w:r>
        <w:rPr>
          <w:sz w:val="20"/>
          <w:szCs w:val="20"/>
        </w:rPr>
        <w:t xml:space="preserve"> нахождения. Участник запроса предложений,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этой ф</w:t>
      </w:r>
      <w:r>
        <w:rPr>
          <w:sz w:val="20"/>
          <w:szCs w:val="20"/>
        </w:rPr>
        <w:t xml:space="preserve">орме Участник закупки указывает перечень и годовые объемы выполнения договоров, сопоставимых с предметом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может самостоятельно выбрать договоры, которые, по его мнению, наилучшим образом характеризует его опыт.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мо</w:t>
      </w:r>
      <w:r>
        <w:rPr>
          <w:sz w:val="20"/>
          <w:szCs w:val="20"/>
        </w:rPr>
        <w:t xml:space="preserve">жет включать и незавершенные договоры, обязательно отмечая данный факт и указав процент выполнения.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графе «Примечания» Участник закупки должен указать выполненные и сданные в организации по проведению государственной экспертизы проекты, по которым ведетс</w:t>
      </w:r>
      <w:r>
        <w:rPr>
          <w:sz w:val="20"/>
          <w:szCs w:val="20"/>
        </w:rPr>
        <w:t xml:space="preserve">я строительство, участие в договорах в качестве генерального проектировщика, вид объекта проектирования – новые ПС, объекты технического перевооружения и реконструкции, линейные сетевые объекты, проектирование систем управления, защиты, автоматики, сигнали</w:t>
      </w:r>
      <w:r>
        <w:rPr>
          <w:sz w:val="20"/>
          <w:szCs w:val="20"/>
        </w:rPr>
        <w:t xml:space="preserve">зации, измерений, телемеханики и связи проектирование систем управления, защиты, автоматики, сигнализации, измерений, телемеханики и</w:t>
      </w:r>
      <w:r>
        <w:rPr>
          <w:sz w:val="20"/>
          <w:szCs w:val="20"/>
        </w:rPr>
        <w:t xml:space="preserve"> связи (в соответствии с предметом закупки).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Участникам закупки рекомендуется приложить оригиналы или копии отзывов об их ра</w:t>
      </w:r>
      <w:r>
        <w:rPr>
          <w:sz w:val="20"/>
          <w:szCs w:val="20"/>
        </w:rPr>
        <w:t xml:space="preserve">боте, данные контрагентами.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17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</w:t>
      </w:r>
      <w:r>
        <w:rPr>
          <w:sz w:val="20"/>
          <w:szCs w:val="20"/>
        </w:rPr>
        <w:t xml:space="preserve">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sz w:val="20"/>
          <w:szCs w:val="20"/>
        </w:rPr>
        <w:br w:type="page" w:clear="all"/>
      </w: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jc w:val="left"/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  <w:iCs/>
        </w:rPr>
      </w:pPr>
      <w:r>
        <w:rPr>
          <w:b/>
          <w:iCs/>
        </w:rPr>
        <w:t xml:space="preserve">Справка</w:t>
      </w:r>
      <w:r>
        <w:rPr>
          <w:b/>
          <w:iCs/>
        </w:rPr>
      </w:r>
      <w:r>
        <w:rPr>
          <w:b/>
          <w:iCs/>
        </w:rPr>
      </w:r>
    </w:p>
    <w:p>
      <w:pPr>
        <w:jc w:val="center"/>
        <w:spacing w:after="0"/>
        <w:widowControl w:val="off"/>
        <w:rPr>
          <w:i/>
          <w:iCs/>
        </w:rPr>
      </w:pPr>
      <w:r>
        <w:rPr>
          <w:b/>
          <w:iCs/>
        </w:rPr>
        <w:t xml:space="preserve">о срывах сроков поставки товарно-материальных ценностей участником закупки по заключенным с ПАО «</w:t>
      </w:r>
      <w:r>
        <w:rPr>
          <w:b/>
          <w:iCs/>
        </w:rPr>
        <w:t xml:space="preserve">Россети</w:t>
      </w:r>
      <w:r>
        <w:rPr>
          <w:b/>
          <w:iCs/>
        </w:rPr>
        <w:t xml:space="preserve"> Московский регион» договорам </w:t>
      </w:r>
      <w:r>
        <w:rPr>
          <w:b/>
          <w:iCs/>
        </w:rPr>
        <w:t xml:space="preserve">поставки </w:t>
      </w:r>
      <w:r>
        <w:rPr>
          <w:i/>
          <w:iCs/>
        </w:rPr>
      </w:r>
      <w:r>
        <w:rPr>
          <w:i/>
          <w:iCs/>
        </w:rPr>
      </w:r>
    </w:p>
    <w:p>
      <w:pPr>
        <w:jc w:val="left"/>
        <w:spacing w:after="0"/>
        <w:widowControl w:val="off"/>
      </w:pPr>
      <w:r/>
      <w:r/>
    </w:p>
    <w:p>
      <w:pPr>
        <w:jc w:val="left"/>
        <w:spacing w:after="0"/>
        <w:widowControl w:val="off"/>
      </w:pPr>
      <w:r>
        <w:t xml:space="preserve">Наименование закупки _______________________________________</w:t>
      </w:r>
      <w:r/>
    </w:p>
    <w:p>
      <w:pPr>
        <w:spacing w:after="0"/>
        <w:widowControl w:val="off"/>
        <w:tabs>
          <w:tab w:val="left" w:pos="0" w:leader="none"/>
        </w:tabs>
      </w:pPr>
      <w:r>
        <w:t xml:space="preserve">Участник Запроса предложений: __________________________________________________</w:t>
      </w:r>
      <w:r/>
    </w:p>
    <w:p>
      <w:pPr>
        <w:jc w:val="center"/>
        <w:spacing w:after="0"/>
        <w:widowControl w:val="off"/>
        <w:rPr>
          <w:b/>
          <w:iCs/>
        </w:rPr>
      </w:pPr>
      <w:r>
        <w:rPr>
          <w:b/>
          <w:iCs/>
        </w:rPr>
      </w:r>
      <w:r>
        <w:rPr>
          <w:b/>
          <w:iCs/>
        </w:rPr>
      </w:r>
      <w:r>
        <w:rPr>
          <w:b/>
          <w:iCs/>
        </w:rPr>
      </w:r>
    </w:p>
    <w:tbl>
      <w:tblPr>
        <w:tblpPr w:horzAnchor="text" w:tblpX="216" w:vertAnchor="text" w:tblpY="1" w:leftFromText="180" w:topFromText="0" w:rightFromText="180" w:bottomFromText="0"/>
        <w:tblW w:w="5000" w:type="pct"/>
        <w:tblLook w:val="04A0" w:firstRow="1" w:lastRow="0" w:firstColumn="1" w:lastColumn="0" w:noHBand="0" w:noVBand="1"/>
      </w:tblPr>
      <w:tblGrid>
        <w:gridCol w:w="636"/>
        <w:gridCol w:w="1015"/>
        <w:gridCol w:w="1000"/>
        <w:gridCol w:w="648"/>
        <w:gridCol w:w="447"/>
        <w:gridCol w:w="1073"/>
        <w:gridCol w:w="8056"/>
        <w:gridCol w:w="1124"/>
        <w:gridCol w:w="783"/>
      </w:tblGrid>
      <w:tr>
        <w:trPr>
          <w:trHeight w:val="88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</w:t>
            </w:r>
            <w:r>
              <w:rPr>
                <w:b/>
                <w:color w:val="000000"/>
                <w:sz w:val="20"/>
                <w:szCs w:val="20"/>
              </w:rPr>
              <w:t xml:space="preserve">п</w:t>
            </w:r>
            <w:r>
              <w:rPr>
                <w:b/>
                <w:color w:val="000000"/>
                <w:sz w:val="20"/>
                <w:szCs w:val="20"/>
              </w:rPr>
              <w:t xml:space="preserve">/п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№ и дата договора*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Предмет договора*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Стоимость договора, руб. с НДС*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Нарушены сроки поставки на сумму,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руб. с НДС*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Наличие решения Арбитражного суда о нарушении участником сроков поставки и взыскании неустойки в пользу ПАО «МОЭСК» (ПАО «</w:t>
            </w:r>
            <w:r>
              <w:rPr>
                <w:b/>
                <w:color w:val="000000"/>
                <w:sz w:val="20"/>
                <w:szCs w:val="20"/>
              </w:rPr>
              <w:t xml:space="preserve">Россети</w:t>
            </w:r>
            <w:r>
              <w:rPr>
                <w:b/>
                <w:color w:val="000000"/>
                <w:sz w:val="20"/>
                <w:szCs w:val="20"/>
              </w:rPr>
              <w:t xml:space="preserve"> Московский регион»)*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Информация об исполнении решения Арбитражного суда участник</w:t>
            </w:r>
            <w:r>
              <w:rPr>
                <w:b/>
                <w:color w:val="000000"/>
                <w:sz w:val="20"/>
                <w:szCs w:val="20"/>
              </w:rPr>
              <w:t xml:space="preserve">ом закупки*</w:t>
            </w:r>
            <w:r>
              <w:rPr>
                <w:b/>
                <w:bCs/>
                <w:color w:val="000000"/>
                <w:sz w:val="20"/>
                <w:szCs w:val="20"/>
              </w:rPr>
            </w:r>
            <w:r>
              <w:rPr>
                <w:b/>
                <w:bCs/>
                <w:color w:val="000000"/>
                <w:sz w:val="20"/>
                <w:szCs w:val="20"/>
              </w:rPr>
            </w:r>
          </w:p>
        </w:tc>
      </w:tr>
      <w:tr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№…. от….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Решение </w:t>
            </w:r>
            <w:r>
              <w:rPr>
                <w:color w:val="000000"/>
                <w:sz w:val="20"/>
                <w:szCs w:val="20"/>
              </w:rPr>
              <w:t xml:space="preserve">от</w:t>
            </w:r>
            <w:r>
              <w:rPr>
                <w:color w:val="000000"/>
                <w:sz w:val="20"/>
                <w:szCs w:val="20"/>
              </w:rPr>
              <w:t xml:space="preserve">…… </w:t>
            </w:r>
            <w:r>
              <w:rPr>
                <w:color w:val="000000"/>
                <w:sz w:val="20"/>
                <w:szCs w:val="20"/>
              </w:rPr>
              <w:t xml:space="preserve">по</w:t>
            </w:r>
            <w:r>
              <w:rPr>
                <w:color w:val="000000"/>
                <w:sz w:val="20"/>
                <w:szCs w:val="20"/>
              </w:rPr>
              <w:t xml:space="preserve"> делу №…….  о нарушении сроков поставки и взыскании неустойки на сумму ……руб.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textDirection w:val="lrTb"/>
            <w:noWrap w:val="false"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Исполнено в полном объеме на сумму…руб./частично на сумму</w:t>
            </w:r>
            <w:r>
              <w:rPr>
                <w:color w:val="000000"/>
                <w:sz w:val="20"/>
                <w:szCs w:val="20"/>
              </w:rPr>
              <w:t xml:space="preserve"> ….</w:t>
            </w:r>
            <w:r>
              <w:rPr>
                <w:color w:val="000000"/>
                <w:sz w:val="20"/>
                <w:szCs w:val="20"/>
              </w:rPr>
              <w:t xml:space="preserve">руб. (№ и дата платежного поручения на …. руб.)/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 исполнено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6" w:type="pct"/>
            <w:vAlign w:val="center"/>
            <w:textDirection w:val="lrTb"/>
            <w:noWrap/>
          </w:tcPr>
          <w:p>
            <w:pPr>
              <w:jc w:val="center"/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5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72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43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4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3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6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8" w:type="pct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57" w:type="pct"/>
            <w:vAlign w:val="bottom"/>
            <w:textDirection w:val="lrTb"/>
            <w:noWrap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84" w:type="pct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4" w:type="pct"/>
            <w:textDirection w:val="lrTb"/>
            <w:noWrap w:val="false"/>
          </w:tcPr>
          <w:p>
            <w:pPr>
              <w:spacing w:after="0"/>
              <w:widowControl w:val="o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  <w:r>
              <w:rPr>
                <w:b/>
                <w:bCs/>
                <w:color w:val="000000"/>
              </w:rPr>
            </w:r>
          </w:p>
        </w:tc>
      </w:tr>
    </w:tbl>
    <w:p>
      <w:pPr>
        <w:pStyle w:val="1262"/>
        <w:ind w:firstLine="0"/>
        <w:widowControl w:val="off"/>
        <w:rPr>
          <w:sz w:val="22"/>
        </w:rPr>
      </w:pPr>
      <w:r>
        <w:rPr>
          <w:sz w:val="22"/>
        </w:rPr>
        <w:t xml:space="preserve">____________________________________                           __________________________________</w:t>
      </w:r>
      <w:r>
        <w:rPr>
          <w:sz w:val="22"/>
        </w:rPr>
      </w:r>
      <w:r>
        <w:rPr>
          <w:sz w:val="22"/>
        </w:rPr>
      </w:r>
    </w:p>
    <w:p>
      <w:pPr>
        <w:pStyle w:val="1262"/>
        <w:ind w:firstLine="0"/>
        <w:widowControl w:val="off"/>
        <w:rPr>
          <w:i/>
          <w:sz w:val="22"/>
          <w:vertAlign w:val="superscript"/>
        </w:rPr>
      </w:pPr>
      <w:r>
        <w:rPr>
          <w:b/>
          <w:i/>
        </w:rPr>
        <w:t xml:space="preserve">(должность ответственного лица)  *                         (подпись, расшифровка)*</w:t>
      </w:r>
      <w:r>
        <w:rPr>
          <w:i/>
          <w:sz w:val="22"/>
          <w:vertAlign w:val="superscript"/>
        </w:rPr>
      </w:r>
      <w:r>
        <w:rPr>
          <w:i/>
          <w:sz w:val="22"/>
          <w:vertAlign w:val="superscript"/>
        </w:rPr>
      </w:r>
    </w:p>
    <w:p>
      <w:pPr>
        <w:pStyle w:val="1262"/>
        <w:ind w:firstLine="0"/>
        <w:widowControl w:val="off"/>
        <w:rPr>
          <w:vertAlign w:val="superscript"/>
        </w:rPr>
      </w:pPr>
      <w:r>
        <w:rPr>
          <w:vertAlign w:val="superscript"/>
        </w:rPr>
        <w:t xml:space="preserve">М.П.</w:t>
      </w:r>
      <w:r>
        <w:rPr>
          <w:vertAlign w:val="superscript"/>
        </w:rPr>
      </w:r>
      <w:r>
        <w:rPr>
          <w:vertAlign w:val="superscript"/>
        </w:rPr>
      </w:r>
    </w:p>
    <w:p>
      <w:pPr>
        <w:pStyle w:val="1262"/>
        <w:ind w:firstLine="0"/>
        <w:widowControl w:val="off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запроса предложений приводит номер и дату оферты, приложением к которой является данная справка.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Участник Запроса предложений указывает свое фирменное наименовани</w:t>
      </w:r>
      <w:r>
        <w:rPr>
          <w:sz w:val="20"/>
          <w:szCs w:val="20"/>
        </w:rPr>
        <w:t xml:space="preserve">е (в </w:t>
      </w:r>
      <w:r>
        <w:rPr>
          <w:sz w:val="20"/>
          <w:szCs w:val="20"/>
        </w:rPr>
        <w:t xml:space="preserve">т.ч</w:t>
      </w:r>
      <w:r>
        <w:rPr>
          <w:sz w:val="20"/>
          <w:szCs w:val="20"/>
        </w:rPr>
        <w:t xml:space="preserve">. организационно-правовую форму) и свой адрес.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В данной справке перечисляются: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все договоры поставки с нарушенными со стороны участника сроками поставки, заключенные  с 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 в предыдущем и текущем году и имеющие решения</w:t>
      </w:r>
      <w:r>
        <w:rPr>
          <w:sz w:val="20"/>
          <w:szCs w:val="20"/>
        </w:rPr>
        <w:t xml:space="preserve"> Арбитражных судов о нарушении сроков поставки и взыскании неустойки;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все договоры поставки, заключенные с ПАО «</w:t>
      </w:r>
      <w:r>
        <w:rPr>
          <w:sz w:val="20"/>
          <w:szCs w:val="20"/>
        </w:rPr>
        <w:t xml:space="preserve">Россети</w:t>
      </w:r>
      <w:r>
        <w:rPr>
          <w:sz w:val="20"/>
          <w:szCs w:val="20"/>
        </w:rPr>
        <w:t xml:space="preserve"> Московский регион» и имеющие непогашенную задолженность по исполнительным листам по результатам решений Арбитражных судов;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- при отсутствии договоров с нарушенными сроками поставки в данной справке необходимо указать «Отсутствуют».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217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должен принять во внимание, что если при проверке  достоверности информации, указанной в данной справке, будет установлен факт предоставле</w:t>
      </w:r>
      <w:r>
        <w:rPr>
          <w:sz w:val="20"/>
          <w:szCs w:val="20"/>
        </w:rPr>
        <w:t xml:space="preserve">ния ложных сведений, Заявка участника по решению Закупочной комиссии может быть </w:t>
      </w:r>
      <w:r>
        <w:rPr>
          <w:sz w:val="20"/>
          <w:szCs w:val="20"/>
        </w:rPr>
        <w:t xml:space="preserve">отклонена</w:t>
      </w:r>
      <w:r>
        <w:rPr>
          <w:sz w:val="20"/>
          <w:szCs w:val="20"/>
        </w:rPr>
        <w:t xml:space="preserve">.П</w:t>
      </w:r>
      <w:r>
        <w:rPr>
          <w:sz w:val="20"/>
          <w:szCs w:val="20"/>
        </w:rPr>
        <w:t xml:space="preserve">оля</w:t>
      </w:r>
      <w:r>
        <w:rPr>
          <w:sz w:val="20"/>
          <w:szCs w:val="20"/>
        </w:rPr>
        <w:t xml:space="preserve">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</w:pPr>
      <w:r>
        <w:rPr>
          <w:sz w:val="20"/>
          <w:szCs w:val="20"/>
        </w:rPr>
        <w:t xml:space="preserve">Не допускается менять формат </w:t>
      </w:r>
      <w:r>
        <w:rPr>
          <w:sz w:val="20"/>
          <w:szCs w:val="20"/>
        </w:rPr>
        <w:t xml:space="preserve">указанной формы. В случае внесения изменений в форму, заявка участника подлежит отклонению.</w:t>
      </w:r>
      <w:r/>
    </w:p>
    <w:p>
      <w:pPr>
        <w:spacing w:after="0"/>
        <w:widowControl w:val="off"/>
        <w:rPr>
          <w:sz w:val="20"/>
          <w:szCs w:val="20"/>
        </w:rPr>
      </w:pPr>
      <w:r/>
      <w:bookmarkStart w:id="165" w:name="_Справка_о_текущей_загруженности_Уча"/>
      <w:r/>
      <w:bookmarkStart w:id="166" w:name="форма11"/>
      <w:r/>
      <w:bookmarkEnd w:id="161"/>
      <w:r/>
      <w:bookmarkEnd w:id="162"/>
      <w:r/>
      <w:bookmarkEnd w:id="163"/>
      <w:r/>
      <w:bookmarkEnd w:id="164"/>
      <w:r/>
      <w:bookmarkEnd w:id="165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sectPr>
          <w:footnotePr>
            <w:numRestart w:val="eachPage"/>
          </w:footnotePr>
          <w:endnotePr/>
          <w:type w:val="nextPage"/>
          <w:pgSz w:w="16834" w:h="11909" w:orient="landscape"/>
          <w:pgMar w:top="568" w:right="1134" w:bottom="567" w:left="1134" w:header="720" w:footer="567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rPr>
          <w:b/>
        </w:rPr>
      </w:pPr>
      <w:r/>
      <w:bookmarkStart w:id="167" w:name="_Справка_о_материально-технических_р"/>
      <w:r/>
      <w:bookmarkStart w:id="168" w:name="_Ref96861029"/>
      <w:r/>
      <w:bookmarkStart w:id="169" w:name="_Toc98251783"/>
      <w:r/>
      <w:bookmarkStart w:id="170" w:name="_Toc247081622"/>
      <w:r/>
      <w:bookmarkStart w:id="171" w:name="форма12"/>
      <w:r/>
      <w:bookmarkEnd w:id="166"/>
      <w:r/>
      <w:bookmarkEnd w:id="167"/>
      <w:r>
        <w:rPr>
          <w:b/>
        </w:rPr>
        <w:t xml:space="preserve">Форма </w:t>
      </w:r>
      <w:bookmarkEnd w:id="168"/>
      <w:r/>
      <w:bookmarkEnd w:id="169"/>
      <w:r/>
      <w:bookmarkEnd w:id="170"/>
      <w:r/>
      <w:bookmarkEnd w:id="171"/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/>
      <w:bookmarkStart w:id="172" w:name="_Toc98251784"/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73" w:name="_Toc307936278"/>
      <w:r/>
      <w:bookmarkStart w:id="174" w:name="_Toc432676449"/>
      <w:r/>
      <w:bookmarkStart w:id="175" w:name="_Toc441156200"/>
      <w:r/>
      <w:bookmarkStart w:id="176" w:name="_Toc459577592"/>
      <w:r/>
      <w:bookmarkStart w:id="177" w:name="_Toc460329965"/>
      <w:r/>
      <w:bookmarkStart w:id="178" w:name="_Toc464479816"/>
      <w:r/>
      <w:bookmarkStart w:id="179" w:name="_Toc477787592"/>
      <w:r>
        <w:rPr>
          <w:b/>
        </w:rPr>
        <w:t xml:space="preserve">Справка о наличии конфликта интересов и/или связей, н</w:t>
      </w:r>
      <w:r>
        <w:rPr>
          <w:b/>
        </w:rPr>
        <w:t xml:space="preserve">осящих характер </w:t>
      </w:r>
      <w:r>
        <w:rPr>
          <w:b/>
        </w:rPr>
        <w:t xml:space="preserve">аффилированности</w:t>
      </w:r>
      <w:r>
        <w:rPr>
          <w:b/>
        </w:rPr>
        <w:t xml:space="preserve"> </w:t>
      </w:r>
      <w:bookmarkStart w:id="180" w:name="_Toc307936279"/>
      <w:r/>
      <w:bookmarkEnd w:id="173"/>
      <w:r>
        <w:rPr>
          <w:b/>
        </w:rPr>
        <w:t xml:space="preserve"> с сотрудниками Заказчика или Организатора закупки</w:t>
      </w:r>
      <w:bookmarkEnd w:id="174"/>
      <w:r/>
      <w:bookmarkEnd w:id="175"/>
      <w:r/>
      <w:bookmarkEnd w:id="176"/>
      <w:r/>
      <w:bookmarkEnd w:id="177"/>
      <w:r/>
      <w:bookmarkEnd w:id="178"/>
      <w:r/>
      <w:bookmarkEnd w:id="179"/>
      <w:r/>
      <w:bookmarkEnd w:id="180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Уважаемые господа!</w:t>
      </w:r>
      <w:r/>
    </w:p>
    <w:p>
      <w:pPr>
        <w:spacing w:after="0"/>
        <w:widowControl w:val="off"/>
      </w:pPr>
      <w:r>
        <w:t xml:space="preserve">При рассмотрении нашей Заявки просим учесть следующие сведения о наличии у [указывается наименование Участника закупки] конфликта интересов и/или связей</w:t>
      </w:r>
      <w:r>
        <w:t xml:space="preserve">, носящих характер </w:t>
      </w:r>
      <w:r>
        <w:t xml:space="preserve">аффилированности</w:t>
      </w:r>
      <w:r>
        <w:t xml:space="preserve"> с лицами, являющимися [</w:t>
      </w:r>
      <w:r>
        <w:t xml:space="preserve">указывается</w:t>
      </w:r>
      <w:r>
        <w:t xml:space="preserve"> кем являются эти лица, пример: учредители, сотрудники, и т.д.] Заказчика [и/или Организатора закупки], а именно:</w:t>
      </w:r>
      <w:r/>
    </w:p>
    <w:p>
      <w:pPr>
        <w:spacing w:after="0"/>
        <w:widowControl w:val="off"/>
      </w:pPr>
      <w:r>
        <w:t xml:space="preserve">{указывается Ф.И.О. лица, его место работы, должность; кратко </w:t>
      </w:r>
      <w:r>
        <w:t xml:space="preserve">описываетс</w:t>
      </w:r>
      <w:r>
        <w:t xml:space="preserve">я</w:t>
      </w:r>
      <w:r>
        <w:t xml:space="preserve"> почему связи между данным лицом и Участником закупки могут быть расценены как конфликт интересов и/или </w:t>
      </w:r>
      <w:r>
        <w:t xml:space="preserve">аффилированность</w:t>
      </w:r>
      <w:r>
        <w:t xml:space="preserve">};</w:t>
      </w:r>
      <w:r/>
    </w:p>
    <w:p>
      <w:pPr>
        <w:spacing w:after="0"/>
        <w:widowControl w:val="off"/>
      </w:pPr>
      <w:r>
        <w:t xml:space="preserve">{указывается Ф.И.О. лица, его должность, кратко </w:t>
      </w:r>
      <w:r>
        <w:t xml:space="preserve">описывается</w:t>
      </w:r>
      <w:r>
        <w:t xml:space="preserve"> почему связи между данным лицом и Участником закупки могут быть расценен</w:t>
      </w:r>
      <w:r>
        <w:t xml:space="preserve">ы как конфликт интересов и/или </w:t>
      </w:r>
      <w:r>
        <w:t xml:space="preserve">аффилированность</w:t>
      </w:r>
      <w:r>
        <w:t xml:space="preserve">};*</w:t>
      </w:r>
      <w:r/>
    </w:p>
    <w:p>
      <w:pPr>
        <w:spacing w:after="0"/>
        <w:widowControl w:val="off"/>
      </w:pPr>
      <w:r>
        <w:t xml:space="preserve">……</w:t>
      </w:r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718"/>
        <w:gridCol w:w="4961"/>
      </w:tblGrid>
      <w:tr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718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представителя)*</w:t>
            </w:r>
            <w:r/>
          </w:p>
        </w:tc>
        <w:tc>
          <w:tcPr>
            <w:tcW w:w="718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4961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должность)*</w:t>
            </w:r>
            <w:r/>
          </w:p>
        </w:tc>
      </w:tr>
    </w:tbl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 приводит номер и дату письма о подаче оферты, приложением к которому является данное Информационное письмо.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</w:t>
      </w:r>
      <w:r>
        <w:rPr>
          <w:sz w:val="20"/>
        </w:rPr>
        <w:t xml:space="preserve"> местонахождения. </w:t>
      </w:r>
      <w:r>
        <w:rPr>
          <w:sz w:val="20"/>
        </w:rPr>
        <w:t xml:space="preserve"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Участники закупки должен заполнить данную Справку, указав всех лиц, в отношение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</w:t>
      </w:r>
      <w:r>
        <w:rPr>
          <w:sz w:val="20"/>
        </w:rPr>
        <w:t xml:space="preserve">лиц</w:t>
      </w:r>
      <w:r>
        <w:rPr>
          <w:sz w:val="20"/>
        </w:rPr>
        <w:t xml:space="preserve"> не</w:t>
      </w:r>
      <w:r>
        <w:rPr>
          <w:sz w:val="20"/>
        </w:rPr>
        <w:t xml:space="preserve">т, то в Справке указывается фраза «При рассмотрении нашей заявки просим учесть,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</w:t>
      </w:r>
      <w:r>
        <w:rPr>
          <w:sz w:val="20"/>
        </w:rPr>
        <w:t xml:space="preserve">рованными с лицами так или иначе связанными с Заказчиком/Организатором закупки.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tabs>
          <w:tab w:val="left" w:pos="0" w:leader="none"/>
          <w:tab w:val="left" w:pos="993" w:leader="none"/>
        </w:tabs>
        <w:rPr>
          <w:sz w:val="20"/>
        </w:rPr>
      </w:pPr>
      <w:r>
        <w:rPr>
          <w:sz w:val="20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r>
        <w:rPr>
          <w:sz w:val="20"/>
        </w:rPr>
        <w:t xml:space="preserve">аффилированности</w:t>
      </w:r>
      <w:r>
        <w:rPr>
          <w:sz w:val="20"/>
        </w:rPr>
        <w:t xml:space="preserve"> между Участником закупки и любы</w:t>
      </w:r>
      <w:r>
        <w:rPr>
          <w:sz w:val="20"/>
        </w:rPr>
        <w:t xml:space="preserve">ми лицам так или иначе связанными с Заказчиком, Организатором закупки может быть признано комиссией существенным нарушением условий данной закупки, и повлечь отклонение Заявки такого Участника. </w:t>
      </w:r>
      <w:r>
        <w:rPr>
          <w:sz w:val="20"/>
        </w:rPr>
      </w:r>
      <w:r>
        <w:rPr>
          <w:sz w:val="20"/>
        </w:rPr>
      </w:r>
    </w:p>
    <w:p>
      <w:pPr>
        <w:pStyle w:val="1217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</w:t>
      </w:r>
      <w:r>
        <w:rPr>
          <w:sz w:val="20"/>
          <w:szCs w:val="20"/>
        </w:rPr>
        <w:t xml:space="preserve">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/>
      <w:bookmarkStart w:id="181" w:name="_Toc298234720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br w:type="page" w:clear="all"/>
      </w:r>
      <w:bookmarkStart w:id="182" w:name="форма16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bookmarkEnd w:id="182"/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</w:t>
      </w:r>
      <w:r>
        <w:rPr>
          <w:b/>
        </w:rPr>
        <w:t xml:space="preserve">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83" w:name="_Toc432676464"/>
      <w:r/>
      <w:bookmarkStart w:id="184" w:name="_Toc441156215"/>
      <w:r/>
      <w:bookmarkStart w:id="185" w:name="_Toc459577607"/>
      <w:r/>
      <w:bookmarkStart w:id="186" w:name="_Toc460329980"/>
      <w:r/>
      <w:bookmarkStart w:id="187" w:name="_Toc464479830"/>
      <w:r/>
      <w:bookmarkStart w:id="188" w:name="_Toc477787606"/>
      <w:r/>
      <w:bookmarkStart w:id="189" w:name="_Toc307936286"/>
      <w:r>
        <w:rPr>
          <w:b/>
        </w:rPr>
        <w:t xml:space="preserve">План </w:t>
      </w:r>
      <w:r>
        <w:rPr>
          <w:b/>
        </w:rPr>
        <w:t xml:space="preserve">распределения выполнения объемов поставки товаров</w:t>
      </w:r>
      <w:r>
        <w:rPr>
          <w:b/>
        </w:rPr>
        <w:t xml:space="preserve"> </w:t>
      </w:r>
      <w:r>
        <w:rPr>
          <w:b/>
        </w:rPr>
        <w:br/>
        <w:t xml:space="preserve">между членами коллективного участника</w:t>
      </w:r>
      <w:bookmarkEnd w:id="183"/>
      <w:r/>
      <w:bookmarkEnd w:id="184"/>
      <w:r/>
      <w:bookmarkEnd w:id="185"/>
      <w:r/>
      <w:bookmarkEnd w:id="186"/>
      <w:r/>
      <w:bookmarkEnd w:id="187"/>
      <w:r/>
      <w:bookmarkEnd w:id="188"/>
      <w:r/>
      <w:bookmarkEnd w:id="189"/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Наименование закупки _______________________________________ 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 (лидер коллективного Участника): ________________________________ *</w:t>
      </w:r>
      <w:r/>
    </w:p>
    <w:tbl>
      <w:tblPr>
        <w:tblW w:w="96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2792"/>
        <w:gridCol w:w="531"/>
        <w:gridCol w:w="1350"/>
        <w:gridCol w:w="270"/>
        <w:gridCol w:w="844"/>
        <w:gridCol w:w="1197"/>
        <w:gridCol w:w="1843"/>
        <w:gridCol w:w="142"/>
      </w:tblGrid>
      <w:tr>
        <w:trPr>
          <w:cantSplit/>
          <w:trHeight w:val="1127"/>
        </w:trPr>
        <w:tc>
          <w:tcPr>
            <w:tcW w:w="637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</w:t>
            </w:r>
            <w:r>
              <w:rPr>
                <w:sz w:val="20"/>
                <w:szCs w:val="20"/>
              </w:rPr>
              <w:t xml:space="preserve">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поставки товаров*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организации, выполняющей данный объем поставки товаров*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2311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выполняемых поставок товаров (стоимость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Сроки выполнения</w:t>
            </w:r>
            <w:r>
              <w:rPr>
                <w:sz w:val="20"/>
                <w:szCs w:val="20"/>
              </w:rPr>
              <w:t xml:space="preserve"> (начало и окончание)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cantSplit/>
          <w:trHeight w:val="1467"/>
        </w:trPr>
        <w:tc>
          <w:tcPr>
            <w:tcW w:w="637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денежном выражении, руб. от общей стоимости договора</w:t>
            </w:r>
            <w:r>
              <w:rPr>
                <w:b/>
                <w:sz w:val="20"/>
                <w:szCs w:val="20"/>
              </w:rPr>
              <w:t xml:space="preserve"> (цены заявки))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vAlign w:val="center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</w:t>
            </w:r>
            <w:r>
              <w:rPr>
                <w:sz w:val="20"/>
                <w:szCs w:val="20"/>
              </w:rPr>
              <w:t xml:space="preserve"> % </w:t>
            </w:r>
            <w:r>
              <w:rPr>
                <w:sz w:val="20"/>
                <w:szCs w:val="20"/>
              </w:rPr>
              <w:t xml:space="preserve">от</w:t>
            </w:r>
            <w:r>
              <w:rPr>
                <w:sz w:val="20"/>
                <w:szCs w:val="20"/>
              </w:rPr>
              <w:t xml:space="preserve"> общей стоимости договора</w:t>
            </w:r>
            <w:r>
              <w:rPr>
                <w:b/>
                <w:sz w:val="20"/>
                <w:szCs w:val="20"/>
              </w:rPr>
              <w:t xml:space="preserve"> (цены заявки))*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…%</w:t>
            </w:r>
            <w:r/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…%</w:t>
            </w:r>
            <w:r/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63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792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881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…%</w:t>
            </w:r>
            <w:r/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gridSpan w:val="4"/>
            <w:tcW w:w="5310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114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197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1985" w:type="dxa"/>
            <w:textDirection w:val="lrTb"/>
            <w:noWrap w:val="false"/>
          </w:tcPr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rPr>
          <w:gridAfter w:val="1"/>
        </w:trPr>
        <w:tc>
          <w:tcPr>
            <w:gridSpan w:val="3"/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>
              <w:t xml:space="preserve">(подпись уполномоченного представителя)*</w:t>
            </w:r>
            <w:r/>
          </w:p>
        </w:tc>
        <w:tc>
          <w:tcPr>
            <w:gridSpan w:val="2"/>
            <w:tcW w:w="1620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gridSpan w:val="3"/>
            <w:tcBorders>
              <w:top w:val="single" w:color="auto" w:sz="4" w:space="0"/>
            </w:tcBorders>
            <w:tcW w:w="3884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должность)*</w:t>
            </w:r>
            <w:r/>
          </w:p>
        </w:tc>
      </w:tr>
    </w:tbl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 (лидер коллективного участника) приводит номер и дату письма о подаче оферты, приложением к которому является данная справка.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</w:t>
      </w:r>
      <w:r>
        <w:rPr>
          <w:sz w:val="20"/>
        </w:rPr>
        <w:t xml:space="preserve">но-правовой формы) и адрес местонахождения. </w:t>
      </w:r>
      <w:r>
        <w:rPr>
          <w:sz w:val="20"/>
        </w:rPr>
        <w:t xml:space="preserve"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</w:t>
      </w:r>
      <w:r>
        <w:rPr>
          <w:sz w:val="20"/>
        </w:rPr>
        <w:t xml:space="preserve">гистрации).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В данной форме Участник закупки указывает: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-перечень выполняемых каждой организацией поставок товаров;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-объем выполняемых поставок товаров (стоимость поставок товаров в процентном и денежном выражении в соответствии с офертой участника закупки)</w:t>
      </w:r>
      <w:r>
        <w:rPr>
          <w:sz w:val="20"/>
        </w:rPr>
        <w:t xml:space="preserve">. 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-сроки выполнения поставок товаров по каждому члену коллективного участника (включая лидера) в соответствии </w:t>
      </w:r>
      <w:r>
        <w:rPr>
          <w:sz w:val="20"/>
        </w:rPr>
        <w:t xml:space="preserve">с</w:t>
      </w:r>
      <w:r>
        <w:rPr>
          <w:sz w:val="20"/>
        </w:rPr>
        <w:t xml:space="preserve"> Спецификацией на поставку ТМЦ.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Данная форма заполняется как в случае участия коллективных участников, так и в случае </w:t>
      </w:r>
      <w:r>
        <w:rPr>
          <w:sz w:val="20"/>
        </w:rPr>
        <w:t xml:space="preserve">не участия</w:t>
      </w:r>
      <w:r>
        <w:rPr>
          <w:sz w:val="20"/>
        </w:rPr>
        <w:t xml:space="preserve"> в закупке колле</w:t>
      </w:r>
      <w:r>
        <w:rPr>
          <w:sz w:val="20"/>
        </w:rPr>
        <w:t xml:space="preserve">ктивных участников; в последнем случае в таблицах приводятся слова «Коллективные участники не принимают участие в закупке».</w:t>
      </w:r>
      <w:r>
        <w:rPr>
          <w:sz w:val="20"/>
        </w:rPr>
      </w:r>
      <w:r>
        <w:rPr>
          <w:sz w:val="20"/>
        </w:rPr>
      </w:r>
    </w:p>
    <w:p>
      <w:pPr>
        <w:pStyle w:val="1217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</w:t>
      </w:r>
      <w:r>
        <w:rPr>
          <w:sz w:val="20"/>
          <w:szCs w:val="20"/>
        </w:rPr>
        <w:t xml:space="preserve">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bookmarkEnd w:id="172"/>
      <w:r/>
      <w:bookmarkEnd w:id="181"/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sectPr>
          <w:headerReference w:type="default" r:id="rId9"/>
          <w:headerReference w:type="even" r:id="rId10"/>
          <w:footnotePr>
            <w:numRestart w:val="eachPage"/>
          </w:footnotePr>
          <w:endnotePr/>
          <w:type w:val="nextPage"/>
          <w:pgSz w:w="11909" w:h="16834" w:orient="portrait"/>
          <w:pgMar w:top="1134" w:right="1134" w:bottom="1134" w:left="1134" w:header="340" w:footer="208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90" w:name="_Toc432676469"/>
      <w:r/>
      <w:bookmarkStart w:id="191" w:name="_Toc441156220"/>
      <w:r/>
      <w:bookmarkStart w:id="192" w:name="_Toc459577612"/>
      <w:r/>
      <w:bookmarkStart w:id="193" w:name="_Toc460329985"/>
      <w:r/>
      <w:bookmarkStart w:id="194" w:name="_Toc464479834"/>
      <w:r/>
      <w:bookmarkStart w:id="195" w:name="_Toc477787610"/>
      <w:r/>
      <w:bookmarkStart w:id="196" w:name="_Toc307936276"/>
      <w:r>
        <w:rPr>
          <w:b/>
        </w:rPr>
        <w:t xml:space="preserve">Справка о материально-технических ресурсах</w:t>
      </w:r>
      <w:bookmarkEnd w:id="190"/>
      <w:r/>
      <w:bookmarkEnd w:id="191"/>
      <w:r/>
      <w:bookmarkEnd w:id="192"/>
      <w:r/>
      <w:bookmarkEnd w:id="193"/>
      <w:r/>
      <w:bookmarkEnd w:id="194"/>
      <w:r/>
      <w:bookmarkEnd w:id="195"/>
      <w:r>
        <w:rPr>
          <w:b/>
        </w:rPr>
        <w:t xml:space="preserve"> </w:t>
      </w:r>
      <w:bookmarkEnd w:id="196"/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</w:pPr>
      <w:r>
        <w:rPr>
          <w:b/>
        </w:rP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</w:t>
      </w:r>
      <w:r>
        <w:rPr>
          <w:i/>
          <w:color w:val="000000"/>
          <w:highlight w:val="lightGray"/>
        </w:rPr>
        <w:t xml:space="preserve"> наличия в техническом задании дополнительных услуг: </w:t>
      </w:r>
      <w:r>
        <w:rPr>
          <w:i/>
          <w:color w:val="000000"/>
          <w:highlight w:val="lightGray"/>
        </w:rPr>
        <w:t xml:space="preserve">шеф-монтаж</w:t>
      </w:r>
      <w:r>
        <w:rPr>
          <w:i/>
          <w:color w:val="000000"/>
          <w:highlight w:val="lightGray"/>
        </w:rPr>
        <w:t xml:space="preserve">/надзор и т. п., и (или) </w:t>
      </w:r>
      <w:r>
        <w:rPr>
          <w:i/>
          <w:highlight w:val="lightGray"/>
        </w:rPr>
        <w:t xml:space="preserve">если требование о предоставлении данной формы указано в Приложени</w:t>
      </w:r>
      <w:r>
        <w:rPr>
          <w:i/>
          <w:highlight w:val="lightGray"/>
        </w:rPr>
        <w:t xml:space="preserve">и №1 «Техническое задание» для проведения балльной оценки</w:t>
      </w:r>
      <w:r>
        <w:rPr>
          <w:b/>
        </w:rPr>
        <w:t xml:space="preserve">]</w:t>
      </w:r>
      <w:r/>
    </w:p>
    <w:p>
      <w:pPr>
        <w:spacing w:after="0"/>
        <w:widowControl w:val="off"/>
      </w:pPr>
      <w:r>
        <w:t xml:space="preserve">Наименование закупки  ______________________________________ 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Участник закупки: ________________________________ *</w:t>
      </w:r>
      <w:r/>
    </w:p>
    <w:p>
      <w:pPr>
        <w:spacing w:after="0"/>
        <w:widowControl w:val="off"/>
      </w:pPr>
      <w:r>
        <w:t xml:space="preserve">Члены коллективного Участника (если заявка подается от лица коллективного</w:t>
      </w:r>
      <w:r>
        <w:t xml:space="preserve"> Участника): </w:t>
      </w:r>
      <w:r/>
    </w:p>
    <w:p>
      <w:pPr>
        <w:spacing w:after="0"/>
        <w:widowControl w:val="off"/>
      </w:pPr>
      <w:r>
        <w:t xml:space="preserve">1. ________________________________________________________</w:t>
      </w:r>
      <w:r/>
    </w:p>
    <w:p>
      <w:pPr>
        <w:spacing w:after="0"/>
        <w:widowControl w:val="off"/>
      </w:pPr>
      <w:r>
        <w:t xml:space="preserve">2. ________________________________________________________ 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Таблица 1№ </w:t>
      </w:r>
      <w:r/>
    </w:p>
    <w:p>
      <w:pPr>
        <w:spacing w:after="0"/>
        <w:widowControl w:val="off"/>
      </w:pPr>
      <w:r>
        <w:t xml:space="preserve">Сводная информация о планируемых к привлечению для выполнения договора МТР (машинах и механизмах)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93"/>
        <w:gridCol w:w="1909"/>
        <w:gridCol w:w="696"/>
        <w:gridCol w:w="2549"/>
        <w:gridCol w:w="2159"/>
        <w:gridCol w:w="1951"/>
      </w:tblGrid>
      <w:tr>
        <w:trPr>
          <w:trHeight w:val="584"/>
        </w:trPr>
        <w:tc>
          <w:tcPr>
            <w:tcW w:w="300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№ </w:t>
            </w:r>
            <w:r>
              <w:t xml:space="preserve">п.п</w:t>
            </w:r>
            <w:r>
              <w:t xml:space="preserve">.</w:t>
            </w:r>
            <w:r/>
          </w:p>
        </w:tc>
        <w:tc>
          <w:tcPr>
            <w:tcW w:w="973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Наименование машин и механизмов*</w:t>
            </w:r>
            <w:r/>
          </w:p>
        </w:tc>
        <w:tc>
          <w:tcPr>
            <w:tcW w:w="352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Кол-во, ед.</w:t>
            </w:r>
            <w:r/>
          </w:p>
        </w:tc>
        <w:tc>
          <w:tcPr>
            <w:tcW w:w="1297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Право собственности или иное право (хозяйственного ведения, оперативного управления, </w:t>
            </w:r>
            <w:r>
              <w:br/>
              <w:t xml:space="preserve">№ договора аренды в случае аренды МТР), принадлежность (участник, субподрядчик и т.п.)*</w:t>
            </w:r>
            <w:r/>
          </w:p>
        </w:tc>
        <w:tc>
          <w:tcPr>
            <w:tcW w:w="1092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>
              <w:t xml:space="preserve">Фактическое местонахождение*</w:t>
            </w:r>
            <w:r/>
          </w:p>
        </w:tc>
        <w:tc>
          <w:tcPr>
            <w:tcW w:w="987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Основны</w:t>
            </w:r>
            <w:r>
              <w:t xml:space="preserve">е технические характеристики*</w:t>
            </w:r>
            <w:r/>
          </w:p>
        </w:tc>
      </w:tr>
      <w:tr>
        <w:trPr>
          <w:trHeight w:val="284" w:hRule="exact"/>
        </w:trPr>
        <w:tc>
          <w:tcPr>
            <w:tcW w:w="300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1</w:t>
            </w:r>
            <w:r/>
          </w:p>
        </w:tc>
        <w:tc>
          <w:tcPr>
            <w:tcW w:w="973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2</w:t>
            </w:r>
            <w:r/>
          </w:p>
        </w:tc>
        <w:tc>
          <w:tcPr>
            <w:tcW w:w="352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3</w:t>
            </w:r>
            <w:r/>
          </w:p>
        </w:tc>
        <w:tc>
          <w:tcPr>
            <w:tcW w:w="1297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4</w:t>
            </w:r>
            <w:r/>
          </w:p>
        </w:tc>
        <w:tc>
          <w:tcPr>
            <w:tcW w:w="1092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987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5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 Таблицы 1.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приводит номер и дату письма о подаче оферты, приложением к которому является данная справка.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местонахожден</w:t>
      </w:r>
      <w:r>
        <w:rPr>
          <w:sz w:val="20"/>
        </w:rPr>
        <w:t xml:space="preserve">ия. </w:t>
      </w:r>
      <w:r>
        <w:rPr>
          <w:sz w:val="20"/>
        </w:rPr>
        <w:t xml:space="preserve"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 и адреса субподрядчиков (колл</w:t>
      </w:r>
      <w:r>
        <w:rPr>
          <w:sz w:val="20"/>
        </w:rPr>
        <w:t xml:space="preserve">ективных участников).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должен указать количество планируемых для привлечения в рамках выполнения работ по данному объекту МТР (машин, механизмов и специальной техники), в каждой строке суммарно по каждому наименованию МТР (экскаваторы, бульдозеры, </w:t>
      </w:r>
      <w:r>
        <w:rPr>
          <w:sz w:val="20"/>
        </w:rPr>
        <w:t xml:space="preserve">автомобили и т.п.). Обязательным является указание принадлежности МТР (подрядчик, субподрядчик аренда и т.п.), с учетом распределения выполнения объемов работ.</w:t>
      </w:r>
      <w:r>
        <w:rPr>
          <w:sz w:val="20"/>
        </w:rPr>
      </w:r>
      <w:r>
        <w:rPr>
          <w:sz w:val="20"/>
        </w:rPr>
      </w:r>
    </w:p>
    <w:p>
      <w:pPr>
        <w:pStyle w:val="1217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</w:t>
      </w:r>
      <w:r>
        <w:rPr>
          <w:sz w:val="20"/>
          <w:szCs w:val="20"/>
        </w:rPr>
        <w:t xml:space="preserve">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sectPr>
          <w:footerReference w:type="first" r:id="rId12"/>
          <w:footnotePr>
            <w:numRestart w:val="eachPage"/>
          </w:footnotePr>
          <w:endnotePr/>
          <w:type w:val="nextPage"/>
          <w:pgSz w:w="11909" w:h="16834" w:orient="portrait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  <w:rPr>
          <w:b/>
        </w:rPr>
      </w:pPr>
      <w:r/>
      <w:bookmarkStart w:id="197" w:name="_Toc460329986"/>
      <w:r/>
      <w:bookmarkStart w:id="198" w:name="_Toc474333307"/>
      <w:r/>
      <w:bookmarkStart w:id="199" w:name="_Toc474403070"/>
      <w:r/>
      <w:bookmarkStart w:id="200" w:name="_Toc474768898"/>
      <w:r/>
      <w:bookmarkStart w:id="201" w:name="_Toc474770028"/>
      <w:r/>
      <w:bookmarkStart w:id="202" w:name="_Toc307936277"/>
      <w:r/>
      <w:bookmarkStart w:id="203" w:name="_Toc432676470"/>
      <w:r/>
      <w:bookmarkStart w:id="204" w:name="_Toc441156221"/>
      <w:r/>
      <w:bookmarkStart w:id="205" w:name="_Toc459577613"/>
      <w:r>
        <w:rPr>
          <w:b/>
        </w:rPr>
        <w:t xml:space="preserve">Справка о кадровых ресурсах</w:t>
      </w:r>
      <w:bookmarkEnd w:id="197"/>
      <w:r/>
      <w:bookmarkEnd w:id="198"/>
      <w:r/>
      <w:bookmarkEnd w:id="199"/>
      <w:r/>
      <w:bookmarkEnd w:id="200"/>
      <w:r/>
      <w:bookmarkEnd w:id="201"/>
      <w:r>
        <w:rPr>
          <w:b/>
        </w:rPr>
        <w:t xml:space="preserve"> </w:t>
      </w:r>
      <w:bookmarkEnd w:id="202"/>
      <w:r/>
      <w:bookmarkEnd w:id="203"/>
      <w:r/>
      <w:bookmarkEnd w:id="204"/>
      <w:r/>
      <w:bookmarkEnd w:id="205"/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</w:pPr>
      <w:r>
        <w:rPr>
          <w:b/>
        </w:rP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</w:t>
      </w:r>
      <w:r>
        <w:rPr>
          <w:i/>
          <w:color w:val="000000"/>
          <w:highlight w:val="lightGray"/>
        </w:rPr>
        <w:t xml:space="preserve"> наличия в техническом задании дополнительных услуг: </w:t>
      </w:r>
      <w:r>
        <w:rPr>
          <w:i/>
          <w:color w:val="000000"/>
          <w:highlight w:val="lightGray"/>
        </w:rPr>
        <w:t xml:space="preserve">шеф-монтаж</w:t>
      </w:r>
      <w:r>
        <w:rPr>
          <w:i/>
          <w:color w:val="000000"/>
          <w:highlight w:val="lightGray"/>
        </w:rPr>
        <w:t xml:space="preserve">/надзор и т. п., и (или) </w:t>
      </w:r>
      <w:r>
        <w:rPr>
          <w:i/>
          <w:highlight w:val="lightGray"/>
        </w:rPr>
        <w:t xml:space="preserve">если требование о предоставлении данной формы указано в Приложении №1 «Техническое задание» для проведения балльной оценки</w:t>
      </w:r>
      <w:r>
        <w:rPr>
          <w:b/>
        </w:rPr>
        <w:t xml:space="preserve">]</w:t>
      </w:r>
      <w:r/>
    </w:p>
    <w:p>
      <w:pPr>
        <w:spacing w:after="0"/>
        <w:widowControl w:val="off"/>
      </w:pPr>
      <w:r>
        <w:t xml:space="preserve">Наименование закупки  ______________________________________ *</w:t>
      </w:r>
      <w:r/>
    </w:p>
    <w:p>
      <w:pPr>
        <w:spacing w:after="0"/>
        <w:widowControl w:val="off"/>
      </w:pPr>
      <w:r>
        <w:t xml:space="preserve">Лот ___</w:t>
      </w:r>
      <w:r/>
    </w:p>
    <w:p>
      <w:pPr>
        <w:spacing w:after="0"/>
        <w:widowControl w:val="off"/>
      </w:pPr>
      <w:r>
        <w:t xml:space="preserve"> </w:t>
      </w:r>
      <w:r/>
    </w:p>
    <w:p>
      <w:pPr>
        <w:spacing w:after="0"/>
        <w:widowControl w:val="off"/>
      </w:pPr>
      <w:r>
        <w:t xml:space="preserve">Участник закупки: ________________________________ *</w:t>
      </w:r>
      <w:r/>
    </w:p>
    <w:p>
      <w:pPr>
        <w:spacing w:after="0"/>
        <w:widowControl w:val="off"/>
      </w:pPr>
      <w:r>
        <w:t xml:space="preserve">Члены </w:t>
      </w:r>
      <w:r>
        <w:t xml:space="preserve">коллективного Участника (если заявка подается от лица коллективного Участника): </w:t>
      </w:r>
      <w:r/>
    </w:p>
    <w:p>
      <w:pPr>
        <w:spacing w:after="0"/>
        <w:widowControl w:val="off"/>
      </w:pPr>
      <w:r>
        <w:t xml:space="preserve">1. ________________________________________________________</w:t>
      </w:r>
      <w:r/>
    </w:p>
    <w:p>
      <w:pPr>
        <w:spacing w:after="0"/>
        <w:widowControl w:val="off"/>
      </w:pPr>
      <w:r>
        <w:t xml:space="preserve">2. ________________________________________________________ 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Таблица 1. Общая штатная численность персонала и сумм</w:t>
      </w:r>
      <w:r>
        <w:t xml:space="preserve">арная численность персонала, привлекаемого для выполнения работ по договору</w:t>
      </w:r>
      <w:r/>
    </w:p>
    <w:p>
      <w:pPr>
        <w:spacing w:after="0"/>
        <w:widowControl w:val="off"/>
      </w:pPr>
      <w:r/>
      <w:r/>
    </w:p>
    <w:tbl>
      <w:tblPr>
        <w:tblW w:w="4975" w:type="pct"/>
        <w:tblLook w:val="04A0" w:firstRow="1" w:lastRow="0" w:firstColumn="1" w:lastColumn="0" w:noHBand="0" w:noVBand="1"/>
      </w:tblPr>
      <w:tblGrid>
        <w:gridCol w:w="2740"/>
        <w:gridCol w:w="1641"/>
        <w:gridCol w:w="882"/>
        <w:gridCol w:w="9445"/>
      </w:tblGrid>
      <w:tr>
        <w:trPr>
          <w:trHeight w:val="765"/>
        </w:trPr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Штатный персонал*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4069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</w:pPr>
            <w:r>
              <w:t xml:space="preserve">Участник закупки</w:t>
            </w:r>
            <w:r/>
          </w:p>
        </w:tc>
      </w:tr>
      <w:tr>
        <w:trPr>
          <w:trHeight w:val="780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Общая численность*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351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В </w:t>
            </w:r>
            <w:r>
              <w:t xml:space="preserve">т.ч</w:t>
            </w:r>
            <w:r>
              <w:t xml:space="preserve">. для работ по данному договору</w:t>
            </w:r>
            <w:r/>
          </w:p>
        </w:tc>
      </w:tr>
      <w:tr>
        <w:trPr>
          <w:trHeight w:val="555"/>
        </w:trPr>
        <w:tc>
          <w:tcPr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ФИО*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Должность*</w:t>
            </w:r>
            <w:r/>
          </w:p>
        </w:tc>
      </w:tr>
      <w:tr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Руководящий</w:t>
            </w:r>
            <w:r>
              <w:t xml:space="preserve">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Инженерно-</w:t>
            </w:r>
            <w:r>
              <w:t xml:space="preserve">технический</w:t>
            </w:r>
            <w:r>
              <w:t xml:space="preserve">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Рабочие и специалисты,  в </w:t>
            </w:r>
            <w:r>
              <w:t xml:space="preserve">т.ч</w:t>
            </w:r>
            <w:r>
              <w:t xml:space="preserve">.: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7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Рабочие строительных специальностей 3- 6 разрядов,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Электромонтажники-</w:t>
            </w:r>
            <w:r>
              <w:t xml:space="preserve">линейщики</w:t>
            </w:r>
            <w:r>
              <w:t xml:space="preserve">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7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Электромонтажники основного электротехнического оборудования,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105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Электромонтажники оборудования вторичных коммутаций, в </w:t>
            </w:r>
            <w:r>
              <w:t xml:space="preserve">т.ч</w:t>
            </w:r>
            <w:r>
              <w:t xml:space="preserve">. </w:t>
            </w:r>
            <w:r>
              <w:t xml:space="preserve">релейщики</w:t>
            </w:r>
            <w:r>
              <w:t xml:space="preserve"> и т.п., чел.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5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Наладчики, инженеры-наладчики, чел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Прочие специальности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restar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931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none" w:color="000000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tcW w:w="558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931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ИТОГО: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558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0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3210" w:type="pct"/>
            <w:vAlign w:val="center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</w:tbl>
    <w:p>
      <w:pPr>
        <w:spacing w:after="0"/>
        <w:widowControl w:val="off"/>
      </w:pPr>
      <w:r>
        <w:t xml:space="preserve">*В Таблице 1 необходимо указать общее количество имеющегося у Участника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</w:t>
      </w:r>
      <w:r/>
    </w:p>
    <w:p>
      <w:pPr>
        <w:spacing w:after="0"/>
        <w:widowControl w:val="off"/>
      </w:pPr>
      <w:r/>
      <w:r/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4815"/>
        <w:gridCol w:w="1625"/>
        <w:gridCol w:w="5237"/>
      </w:tblGrid>
      <w:tr>
        <w:trPr>
          <w:trHeight w:val="265"/>
        </w:trPr>
        <w:tc>
          <w:tcPr>
            <w:tcBorders>
              <w:bottom w:val="single" w:color="auto" w:sz="4" w:space="0"/>
            </w:tcBorders>
            <w:tcW w:w="4815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W w:w="1625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5237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</w:tr>
      <w:tr>
        <w:trPr>
          <w:trHeight w:val="471"/>
        </w:trPr>
        <w:tc>
          <w:tcPr>
            <w:tcBorders>
              <w:top w:val="single" w:color="auto" w:sz="4" w:space="0"/>
            </w:tcBorders>
            <w:tcW w:w="4815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 уполномоченного представителя)*</w:t>
            </w:r>
            <w:r/>
          </w:p>
        </w:tc>
        <w:tc>
          <w:tcPr>
            <w:tcW w:w="1625" w:type="dxa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5237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должность)*</w:t>
            </w:r>
            <w:r/>
          </w:p>
        </w:tc>
      </w:tr>
    </w:tbl>
    <w:p>
      <w:pPr>
        <w:spacing w:after="0"/>
        <w:widowControl w:val="off"/>
      </w:pPr>
      <w:r>
        <w:t xml:space="preserve">М. П.</w:t>
      </w:r>
      <w:r/>
    </w:p>
    <w:p>
      <w:pPr>
        <w:spacing w:after="0"/>
        <w:widowControl w:val="off"/>
        <w:sectPr>
          <w:footerReference w:type="default" r:id="rId13"/>
          <w:footnotePr>
            <w:numRestart w:val="eachPage"/>
          </w:footnotePr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</w:t>
      </w:r>
      <w:r>
        <w:rPr>
          <w:sz w:val="20"/>
        </w:rPr>
        <w:t xml:space="preserve">к закупки приводит номер и дату письма о подаче оферты, приложением к которому является данная справка.</w:t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</w:t>
      </w:r>
      <w:r>
        <w:rPr>
          <w:sz w:val="20"/>
        </w:rPr>
        <w:t xml:space="preserve">адрес место нахождения. </w:t>
      </w:r>
      <w:r>
        <w:rPr>
          <w:sz w:val="20"/>
        </w:rPr>
        <w:t xml:space="preserve">Участник,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регистрации), наименования (в </w:t>
      </w:r>
      <w:r>
        <w:rPr>
          <w:sz w:val="20"/>
        </w:rPr>
        <w:t xml:space="preserve">т.ч</w:t>
      </w:r>
      <w:r>
        <w:rPr>
          <w:sz w:val="20"/>
        </w:rPr>
        <w:t xml:space="preserve">. организационно-правовую форму – для юридических лиц, адреса регистрации – для физических лиц) и адреса субподрядчиков (коллективных участников).</w:t>
      </w:r>
      <w:r>
        <w:rPr>
          <w:sz w:val="20"/>
        </w:rPr>
      </w:r>
      <w:r>
        <w:rPr>
          <w:sz w:val="20"/>
        </w:rPr>
      </w:r>
    </w:p>
    <w:p>
      <w:pPr>
        <w:pStyle w:val="1217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</w:t>
      </w:r>
      <w:r>
        <w:rPr>
          <w:sz w:val="20"/>
          <w:szCs w:val="20"/>
        </w:rPr>
        <w:t xml:space="preserve">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after="0"/>
        <w:widowControl w:val="off"/>
      </w:pPr>
      <w:r>
        <w:br w:type="page" w:clear="all"/>
      </w:r>
      <w:bookmarkStart w:id="206" w:name="форма17"/>
      <w:r/>
      <w:r/>
    </w:p>
    <w:p>
      <w:pPr>
        <w:spacing w:after="0"/>
        <w:widowControl w:val="off"/>
        <w:rPr>
          <w:b/>
        </w:rPr>
      </w:pPr>
      <w:r/>
      <w:bookmarkStart w:id="207" w:name="P248"/>
      <w:r/>
      <w:bookmarkStart w:id="208" w:name="P268"/>
      <w:r/>
      <w:bookmarkStart w:id="209" w:name="P275"/>
      <w:r/>
      <w:bookmarkStart w:id="210" w:name="P290"/>
      <w:r/>
      <w:bookmarkEnd w:id="206"/>
      <w:r/>
      <w:bookmarkEnd w:id="207"/>
      <w:r/>
      <w:bookmarkEnd w:id="208"/>
      <w:r/>
      <w:bookmarkEnd w:id="209"/>
      <w:r/>
      <w:bookmarkEnd w:id="210"/>
      <w:r>
        <w:rPr>
          <w:b/>
        </w:rPr>
        <w:t xml:space="preserve">Форма 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Приложение № ___ к Заявке на участие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от «____»_____________ </w:t>
      </w:r>
      <w:r>
        <w:rPr>
          <w:b/>
        </w:rPr>
        <w:t xml:space="preserve">г</w:t>
      </w:r>
      <w:r>
        <w:rPr>
          <w:b/>
        </w:rPr>
        <w:t xml:space="preserve">. №__________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Форма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after="0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Декларации об отсутствии программных и аппаратных закладок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after="0"/>
        <w:widowControl w:val="off"/>
        <w:rPr>
          <w:b/>
          <w:sz w:val="28"/>
          <w:szCs w:val="28"/>
        </w:rPr>
      </w:pPr>
      <w:r>
        <w:t xml:space="preserve">[</w:t>
      </w:r>
      <w:r>
        <w:rPr>
          <w:i/>
          <w:highlight w:val="lightGray"/>
        </w:rPr>
        <w:t xml:space="preserve">данная форма должна заполняться и предоставляться в случае, если в Приложении №1 «Техническое задание »имеется соответствующее требование</w:t>
      </w:r>
      <w:r>
        <w:t xml:space="preserve">]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Участник закупки:______________*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 [указывается наименова</w:t>
      </w:r>
      <w:r>
        <w:rPr>
          <w:sz w:val="26"/>
          <w:szCs w:val="26"/>
        </w:rPr>
        <w:t xml:space="preserve">ние Участника закупки] подтверждает, что в поставляемом оборудовании и/или программном обеспечении отсутствуют программные и/или аппаратные закладки**.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after="0"/>
        <w:widowControl w:val="off"/>
        <w:rPr>
          <w:i/>
        </w:rPr>
      </w:pPr>
      <w:r>
        <w:rPr>
          <w:i/>
        </w:rPr>
        <w:t xml:space="preserve">*Программной или аппаратной закладкой являются скрытно внедрённые в оборудование или программное обеспе</w:t>
      </w:r>
      <w:r>
        <w:rPr>
          <w:i/>
        </w:rPr>
        <w:t xml:space="preserve">чение отдельные модули, либо намеренно измененные фрагменты оборудования или программного обеспечения, позволяющие осуществить несанкционированный доступ к ресурсам оборудования или программного обеспечения.</w:t>
      </w:r>
      <w:r>
        <w:rPr>
          <w:i/>
        </w:rPr>
      </w:r>
      <w:r>
        <w:rPr>
          <w:i/>
        </w:rPr>
      </w:r>
    </w:p>
    <w:p>
      <w:pPr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right"/>
        <w:spacing w:after="0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Подпись: _______________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spacing w:after="0"/>
        <w:widowControl w:val="off"/>
      </w:pPr>
      <w:r>
        <w:t xml:space="preserve">М.П.*</w:t>
      </w:r>
      <w:r/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Инструкции </w:t>
      </w:r>
      <w:r>
        <w:rPr>
          <w:b/>
        </w:rPr>
        <w:t xml:space="preserve">по заполнению</w:t>
      </w:r>
      <w:r>
        <w:rPr>
          <w:b/>
        </w:rPr>
      </w:r>
      <w:r>
        <w:rPr>
          <w:b/>
        </w:rPr>
      </w:r>
    </w:p>
    <w:p>
      <w:pPr>
        <w:pStyle w:val="1217"/>
        <w:ind w:left="0" w:firstLine="0"/>
        <w:widowControl w:val="off"/>
        <w:tabs>
          <w:tab w:val="left" w:pos="142" w:leader="none"/>
          <w:tab w:val="clear" w:pos="252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Поля, отмеченные «*», обязательны к заполнению.  В случае наличия незаполненных обязательных полей заявка участника подлежит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Не допускается менять формат указанной формы. В случае внесения изменений в форму, заявка участника подле</w:t>
      </w:r>
      <w:r>
        <w:rPr>
          <w:sz w:val="20"/>
          <w:szCs w:val="20"/>
        </w:rPr>
        <w:t xml:space="preserve">жит отклонению.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b/>
        </w:rPr>
      </w:pPr>
      <w:r>
        <w:rPr>
          <w:b/>
        </w:rPr>
        <w:t xml:space="preserve">Форма  [ОБРАЗЕЦ ПИСЬМА НА ВОЗВРАТ НГ]</w:t>
      </w:r>
      <w:r>
        <w:rPr>
          <w:b/>
        </w:rPr>
      </w:r>
      <w:r>
        <w:rPr>
          <w:b/>
        </w:rPr>
      </w:r>
    </w:p>
    <w:p>
      <w:pPr>
        <w:spacing w:after="0"/>
        <w:widowControl w:val="off"/>
      </w:pPr>
      <w:r>
        <w:t xml:space="preserve">Фирменный бланк Участника закупки</w:t>
      </w:r>
      <w:r/>
    </w:p>
    <w:p>
      <w:pPr>
        <w:spacing w:after="0"/>
        <w:widowControl w:val="off"/>
      </w:pPr>
      <w:r>
        <w:t xml:space="preserve">  </w:t>
      </w:r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357"/>
        <w:gridCol w:w="5500"/>
      </w:tblGrid>
      <w:tr>
        <w:trPr/>
        <w:tc>
          <w:tcPr>
            <w:tcW w:w="2210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 «_____»__________года №______</w:t>
            </w:r>
            <w:r/>
          </w:p>
        </w:tc>
        <w:tc>
          <w:tcPr>
            <w:tcW w:w="2790" w:type="pct"/>
            <w:textDirection w:val="lrTb"/>
            <w:noWrap w:val="false"/>
          </w:tcPr>
          <w:p>
            <w:pPr>
              <w:jc w:val="left"/>
              <w:spacing w:after="0"/>
              <w:widowControl w:val="off"/>
            </w:pPr>
            <w:r>
              <w:rPr>
                <w:b/>
              </w:rPr>
              <w:t xml:space="preserve">Секретарю Комиссии</w:t>
            </w:r>
            <w:r>
              <w:t xml:space="preserve"> </w:t>
            </w:r>
            <w:r/>
          </w:p>
          <w:p>
            <w:pPr>
              <w:spacing w:after="0"/>
              <w:widowControl w:val="off"/>
            </w:pPr>
            <w:r>
              <w:t xml:space="preserve">____________________________________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jc w:val="center"/>
        <w:spacing w:after="0"/>
        <w:widowControl w:val="off"/>
      </w:pPr>
      <w:r>
        <w:t xml:space="preserve">Уважаемая</w:t>
      </w:r>
      <w:r>
        <w:t xml:space="preserve"> (-</w:t>
      </w:r>
      <w:r>
        <w:t xml:space="preserve">ый</w:t>
      </w:r>
      <w:r>
        <w:t xml:space="preserve">) ______________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Просим Вас вернуть оригинал независимой гарантии по Запросу предложений по определению поставщика на _________ ____________________ [указывается предмет закупки] номер извещения _________________ в связи с завершением торгово-закупочной процедуры и тем, чт</w:t>
      </w:r>
      <w:r>
        <w:t xml:space="preserve">о не являемся победителем в соответствии с итоговым протоколом № _____ </w:t>
      </w:r>
      <w:r>
        <w:t xml:space="preserve">от</w:t>
      </w:r>
      <w:r>
        <w:t xml:space="preserve"> _________.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p>
      <w:pPr>
        <w:spacing w:after="0"/>
        <w:widowControl w:val="off"/>
      </w:pPr>
      <w:r/>
      <w:r/>
    </w:p>
    <w:tbl>
      <w:tblPr>
        <w:tblW w:w="4946" w:type="pct"/>
        <w:tblInd w:w="107" w:type="dxa"/>
        <w:tblLook w:val="01E0" w:firstRow="1" w:lastRow="1" w:firstColumn="1" w:lastColumn="1" w:noHBand="0" w:noVBand="0"/>
      </w:tblPr>
      <w:tblGrid>
        <w:gridCol w:w="3859"/>
        <w:gridCol w:w="827"/>
        <w:gridCol w:w="5065"/>
      </w:tblGrid>
      <w:tr>
        <w:trPr/>
        <w:tc>
          <w:tcPr>
            <w:tcBorders>
              <w:top w:val="single" w:color="auto" w:sz="4" w:space="0"/>
            </w:tcBorders>
            <w:tcW w:w="1979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(подпись)</w:t>
            </w:r>
            <w:r/>
          </w:p>
        </w:tc>
        <w:tc>
          <w:tcPr>
            <w:tcW w:w="424" w:type="pct"/>
            <w:textDirection w:val="lrTb"/>
            <w:noWrap w:val="false"/>
          </w:tcPr>
          <w:p>
            <w:pPr>
              <w:spacing w:after="0"/>
              <w:widowControl w:val="off"/>
            </w:pPr>
            <w:r/>
            <w:r/>
          </w:p>
        </w:tc>
        <w:tc>
          <w:tcPr>
            <w:tcBorders>
              <w:top w:val="single" w:color="auto" w:sz="4" w:space="0"/>
            </w:tcBorders>
            <w:tcW w:w="2597" w:type="pct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(фамилия, имя, отчество </w:t>
            </w:r>
            <w:r>
              <w:t xml:space="preserve">подписавшего</w:t>
            </w:r>
            <w:r>
              <w:t xml:space="preserve">, должность)</w:t>
            </w:r>
            <w:r/>
          </w:p>
        </w:tc>
      </w:tr>
    </w:tbl>
    <w:p>
      <w:pPr>
        <w:spacing w:after="0"/>
        <w:widowControl w:val="off"/>
      </w:pPr>
      <w:r/>
      <w:r/>
    </w:p>
    <w:p>
      <w:pPr>
        <w:spacing w:after="0"/>
        <w:widowControl w:val="off"/>
      </w:pPr>
      <w:r>
        <w:t xml:space="preserve">М.П.</w:t>
      </w:r>
      <w:r/>
    </w:p>
    <w:p>
      <w:pPr>
        <w:spacing w:after="0"/>
        <w:widowControl w:val="off"/>
      </w:pPr>
      <w:r/>
      <w:r/>
    </w:p>
    <w:p>
      <w:pPr>
        <w:spacing w:after="0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следует оформить на официальном бланке Участника закупки, если он является юридическим лицом. В случае</w:t>
      </w:r>
      <w:r>
        <w:rPr>
          <w:sz w:val="20"/>
          <w:szCs w:val="20"/>
        </w:rPr>
        <w:t xml:space="preserve">,</w:t>
      </w:r>
      <w:r>
        <w:rPr>
          <w:sz w:val="20"/>
          <w:szCs w:val="20"/>
        </w:rPr>
        <w:t xml:space="preserve"> если участник закупки является физическим лицом, в том числе</w:t>
      </w:r>
      <w:r>
        <w:rPr>
          <w:sz w:val="20"/>
          <w:szCs w:val="20"/>
        </w:rPr>
        <w:t xml:space="preserve">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Предмет запроса предложений указан в Изве</w:t>
      </w:r>
      <w:r>
        <w:rPr>
          <w:sz w:val="20"/>
          <w:szCs w:val="20"/>
        </w:rPr>
        <w:t xml:space="preserve">щении о проведении запроса предложений.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Письмо должно быть подписано и скреплено печатью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являет</w:t>
      </w:r>
      <w:r>
        <w:rPr>
          <w:sz w:val="20"/>
          <w:szCs w:val="20"/>
        </w:rPr>
        <w:t xml:space="preserve">ся физическое лицо – он подписывается собственноручно таким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spacing w:after="0"/>
        <w:widowControl w:val="off"/>
        <w:rPr>
          <w:rStyle w:val="1215"/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rStyle w:val="1215"/>
          <w:b w:val="0"/>
          <w:sz w:val="24"/>
          <w:szCs w:val="24"/>
        </w:rPr>
      </w:r>
      <w:r>
        <w:rPr>
          <w:rStyle w:val="1215"/>
          <w:b w:val="0"/>
          <w:sz w:val="24"/>
          <w:szCs w:val="24"/>
        </w:rPr>
      </w:r>
    </w:p>
    <w:p>
      <w:pPr>
        <w:spacing w:after="0"/>
        <w:widowControl w:val="off"/>
        <w:rPr>
          <w:rStyle w:val="1215"/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rStyle w:val="1215"/>
          <w:b w:val="0"/>
          <w:sz w:val="24"/>
          <w:szCs w:val="24"/>
        </w:rPr>
      </w:r>
      <w:r>
        <w:rPr>
          <w:rStyle w:val="1215"/>
          <w:b w:val="0"/>
          <w:sz w:val="24"/>
          <w:szCs w:val="24"/>
        </w:rPr>
      </w:r>
    </w:p>
    <w:sectPr>
      <w:footnotePr>
        <w:numRestart w:val="eachPage"/>
      </w:footnotePr>
      <w:endnotePr/>
      <w:type w:val="nextPage"/>
      <w:pgSz w:w="11909" w:h="16834" w:orient="portrait"/>
      <w:pgMar w:top="1134" w:right="1134" w:bottom="1134" w:left="1134" w:header="720" w:footer="567" w:gutter="0"/>
      <w:cols w:num="1" w:sep="0" w:space="6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Arial (WT)">
    <w:panose1 w:val="02000603000000000000"/>
  </w:font>
  <w:font w:name="MS Mincho">
    <w:panose1 w:val="02020606060505090204"/>
  </w:font>
  <w:font w:name="Courier New">
    <w:panose1 w:val="02070409020205020404"/>
  </w:font>
  <w:font w:name="Verdana">
    <w:panose1 w:val="020B0606030504020204"/>
  </w:font>
  <w:font w:name="TimesDL">
    <w:panose1 w:val="02000603000000000000"/>
  </w:font>
  <w:font w:name="Courier">
    <w:panose1 w:val="02000603000000000000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506020203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544941993"/>
      <w:docPartObj>
        <w:docPartGallery w:val="Page Numbers (Bottom of Page)"/>
        <w:docPartUnique w:val="true"/>
      </w:docPartObj>
      <w:rPr/>
    </w:sdtPr>
    <w:sdtContent>
      <w:p>
        <w:pPr>
          <w:pStyle w:val="1124"/>
          <w:jc w:val="right"/>
          <w:rPr>
            <w:b/>
            <w:sz w:val="16"/>
            <w:szCs w:val="16"/>
          </w:rPr>
        </w:pPr>
        <w:r>
          <w:rPr>
            <w:b/>
            <w:sz w:val="16"/>
            <w:szCs w:val="16"/>
          </w:rPr>
          <w:fldChar w:fldCharType="begin"/>
        </w:r>
        <w:r>
          <w:rPr>
            <w:b/>
            <w:sz w:val="16"/>
            <w:szCs w:val="16"/>
          </w:rPr>
          <w:instrText xml:space="preserve">PAGE   \* MERGEFORMAT</w:instrText>
        </w:r>
        <w:r>
          <w:rPr>
            <w:b/>
            <w:sz w:val="16"/>
            <w:szCs w:val="16"/>
          </w:rPr>
          <w:fldChar w:fldCharType="separate"/>
        </w:r>
        <w:r>
          <w:rPr>
            <w:b/>
            <w:sz w:val="16"/>
            <w:szCs w:val="16"/>
          </w:rPr>
          <w:t xml:space="preserve">2</w:t>
        </w:r>
        <w:r>
          <w:rPr>
            <w:b/>
            <w:sz w:val="16"/>
            <w:szCs w:val="16"/>
          </w:rPr>
          <w:fldChar w:fldCharType="end"/>
        </w:r>
        <w:r>
          <w:rPr>
            <w:b/>
            <w:sz w:val="16"/>
            <w:szCs w:val="16"/>
          </w:rPr>
        </w:r>
        <w:r>
          <w:rPr>
            <w:b/>
            <w:sz w:val="16"/>
            <w:szCs w:val="16"/>
          </w:rPr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24"/>
      <w:rPr>
        <w:rStyle w:val="1123"/>
        <w:b/>
        <w:sz w:val="16"/>
        <w:szCs w:val="16"/>
      </w:rPr>
      <w:framePr w:wrap="auto" w:vAnchor="text" w:hAnchor="margin" w:xAlign="right" w:y="1"/>
    </w:pPr>
    <w:r>
      <w:rPr>
        <w:rStyle w:val="1123"/>
        <w:b/>
        <w:sz w:val="16"/>
        <w:szCs w:val="16"/>
      </w:rPr>
      <w:fldChar w:fldCharType="begin"/>
    </w:r>
    <w:r>
      <w:rPr>
        <w:rStyle w:val="1123"/>
        <w:b/>
        <w:sz w:val="16"/>
        <w:szCs w:val="16"/>
      </w:rPr>
      <w:instrText xml:space="preserve">PAGE  </w:instrText>
    </w:r>
    <w:r>
      <w:rPr>
        <w:rStyle w:val="1123"/>
        <w:b/>
        <w:sz w:val="16"/>
        <w:szCs w:val="16"/>
      </w:rPr>
      <w:fldChar w:fldCharType="separate"/>
    </w:r>
    <w:r>
      <w:rPr>
        <w:rStyle w:val="1123"/>
        <w:b/>
        <w:sz w:val="16"/>
        <w:szCs w:val="16"/>
      </w:rPr>
      <w:t xml:space="preserve">51</w:t>
    </w:r>
    <w:r>
      <w:rPr>
        <w:rStyle w:val="1123"/>
        <w:b/>
        <w:sz w:val="16"/>
        <w:szCs w:val="16"/>
      </w:rPr>
      <w:fldChar w:fldCharType="end"/>
    </w:r>
    <w:r>
      <w:rPr>
        <w:rStyle w:val="1123"/>
        <w:b/>
        <w:sz w:val="16"/>
        <w:szCs w:val="16"/>
      </w:rPr>
    </w:r>
    <w:r>
      <w:rPr>
        <w:rStyle w:val="1123"/>
        <w:b/>
        <w:sz w:val="16"/>
        <w:szCs w:val="16"/>
      </w:rPr>
    </w:r>
  </w:p>
  <w:p>
    <w:pPr>
      <w:pStyle w:val="1124"/>
      <w:ind w:right="360"/>
      <w:jc w:val="center"/>
      <w:tabs>
        <w:tab w:val="right" w:pos="9840" w:leader="none"/>
      </w:tabs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121"/>
      </w:pPr>
      <w:r>
        <w:rPr>
          <w:rStyle w:val="1120"/>
        </w:rPr>
        <w:footnoteRef/>
      </w:r>
      <w:r>
        <w:t xml:space="preserve"> 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</w:t>
      </w:r>
      <w:r>
        <w:t xml:space="preserve">и о ней в ЕГРЮЛ как действующей.</w:t>
      </w:r>
      <w:r/>
    </w:p>
  </w:footnote>
  <w:footnote w:id="3">
    <w:p>
      <w:pPr>
        <w:pStyle w:val="1121"/>
      </w:pPr>
      <w:r>
        <w:rPr>
          <w:rStyle w:val="1120"/>
        </w:rPr>
        <w:footnoteRef/>
      </w:r>
      <w:r>
        <w:t xml:space="preserve"> Заключение договора в электронной форме через систему электронного документооборота возможно только по закупкам, предметом которых является выполнение работ по капитальному строительству (ПИР, СМР, ПНР, авторский надзор, </w:t>
      </w:r>
      <w:r>
        <w:t xml:space="preserve">строительный контроль). По остальным закупкам заключение договора осуществляется на бумажном носителе или при помощи аппаратно-программных средств ЭТП.</w:t>
      </w:r>
      <w:r/>
    </w:p>
  </w:footnote>
  <w:footnote w:id="4">
    <w:p>
      <w:pPr>
        <w:pStyle w:val="1121"/>
      </w:pPr>
      <w:r>
        <w:rPr>
          <w:rStyle w:val="1120"/>
        </w:rPr>
        <w:footnoteRef/>
      </w:r>
      <w:r>
        <w:t xml:space="preserve"> В случае заключения договора в электронной форме с применением усиленной квалифицированной электронной</w:t>
      </w:r>
      <w:r>
        <w:t xml:space="preserve"> подписи документы направляются через систему электронного документооборота, указанную в соглашении об электронном документообороте, которое подписывается в бумажном виде между участником закупки, который должен заключить договор, и заказчиком до момента п</w:t>
      </w:r>
      <w:r>
        <w:t xml:space="preserve">одписания договора.</w:t>
      </w:r>
      <w:r/>
    </w:p>
  </w:footnote>
  <w:footnote w:id="5">
    <w:p>
      <w:pPr>
        <w:pStyle w:val="1121"/>
      </w:pPr>
      <w:r>
        <w:rPr>
          <w:rStyle w:val="1120"/>
        </w:rPr>
        <w:footnoteRef/>
      </w:r>
      <w:r>
        <w:t xml:space="preserve">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документооборота, указанную в соглашении об электронном документообороте, </w:t>
      </w:r>
      <w:r>
        <w:t xml:space="preserve">которое подписывается в бумажном виде между участником закупки, который должен заключить договор, и заказчиком до момента подписания договора.</w:t>
      </w:r>
      <w:r/>
    </w:p>
  </w:footnote>
  <w:footnote w:id="6">
    <w:p>
      <w:pPr>
        <w:spacing w:after="0"/>
        <w:rPr>
          <w:sz w:val="20"/>
          <w:szCs w:val="20"/>
        </w:rPr>
      </w:pPr>
      <w:r>
        <w:rPr>
          <w:rStyle w:val="1120"/>
        </w:rPr>
        <w:footnoteRef/>
      </w:r>
      <w:r>
        <w:t xml:space="preserve"> </w:t>
      </w:r>
      <w:r>
        <w:rPr>
          <w:sz w:val="20"/>
          <w:szCs w:val="20"/>
        </w:rPr>
        <w:t xml:space="preserve">Отнесение участника закупки к иностранному агенту производится на основании информации, содержащейся в Реестре </w:t>
      </w:r>
      <w:r>
        <w:rPr>
          <w:sz w:val="20"/>
          <w:szCs w:val="20"/>
        </w:rPr>
        <w:t xml:space="preserve">иностранных агентов, размещенном на официальном сайте Министерства юстиции РФ, уполномоченного в сфере регистрации некоммерческих организаций, в информационно-телекоммуникационной сети "Интернет".</w:t>
      </w:r>
      <w:r>
        <w:rPr>
          <w:sz w:val="20"/>
          <w:szCs w:val="20"/>
        </w:rPr>
      </w:r>
      <w:r>
        <w:rPr>
          <w:sz w:val="20"/>
          <w:szCs w:val="20"/>
        </w:rPr>
      </w:r>
    </w:p>
  </w:footnote>
  <w:footnote w:id="7">
    <w:p>
      <w:pPr>
        <w:pStyle w:val="1121"/>
      </w:pPr>
      <w:r>
        <w:rPr>
          <w:rStyle w:val="1120"/>
        </w:rPr>
        <w:footnoteRef/>
      </w:r>
      <w:r>
        <w:t xml:space="preserve"> Это значит, что</w:t>
      </w:r>
      <w:r>
        <w:t xml:space="preserve"> в его отношении не должна быть начата процедура ликвидации или банкротства, а его деятельность не должна быть приостановлена (КоАП дает право контролирующим органам приостанавливать деятельность организации при некоторых административных правонарушениях).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>
      <w:fldChar w:fldCharType="begin"/>
    </w:r>
    <w:r>
      <w:instrText xml:space="preserve">PAGE  </w:instrText>
    </w:r>
    <w:r>
      <w:fldChar w:fldCharType="end"/>
    </w:r>
    <w:r/>
  </w:p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222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pStyle w:val="1187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190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191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64" w:hanging="564"/>
        <w:tabs>
          <w:tab w:val="num" w:pos="56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64" w:hanging="564"/>
        <w:tabs>
          <w:tab w:val="num" w:pos="564" w:leader="none"/>
        </w:tabs>
      </w:pPr>
      <w:rPr>
        <w:rFonts w:hint="default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 w:cs="Times New Roman"/>
        <w:b/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30" w:hanging="720"/>
        <w:tabs>
          <w:tab w:val="num" w:pos="1430" w:leader="none"/>
        </w:tabs>
      </w:pPr>
      <w:rPr>
        <w:rFonts w:hint="default" w:cs="Times New Roman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</w:abstractNum>
  <w:abstractNum w:abstractNumId="5">
    <w:multiLevelType w:val="hybridMultilevel"/>
    <w:styleLink w:val="1278"/>
    <w:lvl w:ilvl="0">
      <w:start w:val="1"/>
      <w:numFmt w:val="bullet"/>
      <w:pStyle w:val="1278"/>
      <w:isLgl w:val="false"/>
      <w:suff w:val="tab"/>
      <w:lvlText w:val="­"/>
      <w:lvlJc w:val="left"/>
      <w:pPr>
        <w:ind w:left="1400" w:hanging="360"/>
        <w:tabs>
          <w:tab w:val="num" w:pos="1400" w:leader="none"/>
        </w:tabs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960"/>
      </w:pPr>
      <w:rPr>
        <w:rFonts w:hint="default"/>
      </w:rPr>
    </w:lvl>
    <w:lvl w:ilvl="1">
      <w:start w:val="19"/>
      <w:numFmt w:val="decimal"/>
      <w:isLgl w:val="false"/>
      <w:suff w:val="tab"/>
      <w:lvlText w:val="%1.%2."/>
      <w:lvlJc w:val="left"/>
      <w:pPr>
        <w:ind w:left="1149" w:hanging="960"/>
      </w:pPr>
      <w:rPr>
        <w:rFonts w:hint="default"/>
      </w:rPr>
    </w:lvl>
    <w:lvl w:ilvl="2">
      <w:start w:val="1"/>
      <w:numFmt w:val="decimal"/>
      <w:isLgl w:val="false"/>
      <w:suff w:val="tab"/>
      <w:lvlText w:val="2.18.%3."/>
      <w:lvlJc w:val="left"/>
      <w:pPr>
        <w:ind w:left="1338" w:hanging="960"/>
      </w:pPr>
      <w:rPr>
        <w:rFonts w:hint="default"/>
      </w:rPr>
    </w:lvl>
    <w:lvl w:ilvl="3">
      <w:start w:val="15"/>
      <w:numFmt w:val="decimal"/>
      <w:isLgl w:val="false"/>
      <w:suff w:val="tab"/>
      <w:lvlText w:val="%1.%2.%3.%4."/>
      <w:lvlJc w:val="left"/>
      <w:pPr>
        <w:ind w:left="1527" w:hanging="96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127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814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08" w:hanging="720"/>
      </w:pPr>
      <w:rPr>
        <w:rFonts w:hint="default"/>
      </w:rPr>
    </w:lvl>
    <w:lvl w:ilvl="3">
      <w:start w:val="6"/>
      <w:numFmt w:val="decimal"/>
      <w:isLgl w:val="false"/>
      <w:suff w:val="tab"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5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00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52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77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2.11.3.%3."/>
      <w:lvlJc w:val="left"/>
      <w:pPr>
        <w:ind w:left="4123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2.20.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6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1">
      <w:start w:val="5"/>
      <w:numFmt w:val="decimal"/>
      <w:isLgl w:val="false"/>
      <w:suff w:val="tab"/>
      <w:lvlText w:val="%1.%2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2">
      <w:start w:val="2"/>
      <w:numFmt w:val="decimal"/>
      <w:isLgl w:val="false"/>
      <w:suff w:val="tab"/>
      <w:lvlText w:val="%1.%2.%3."/>
      <w:lvlJc w:val="left"/>
      <w:pPr>
        <w:ind w:left="840" w:hanging="840"/>
        <w:tabs>
          <w:tab w:val="num" w:pos="84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1080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1440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1800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2160" w:leader="none"/>
        </w:tabs>
      </w:pPr>
      <w:rPr>
        <w:rFonts w:hint="default" w:cs="Times New Roman"/>
      </w:rPr>
    </w:lvl>
  </w:abstractNum>
  <w:abstractNum w:abstractNumId="16">
    <w:multiLevelType w:val="hybridMultilevel"/>
    <w:lvl w:ilvl="0">
      <w:start w:val="15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2.11.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pStyle w:val="109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3"/>
      <w:numFmt w:val="decimal"/>
      <w:isLgl w:val="false"/>
      <w:suff w:val="tab"/>
      <w:lvlText w:val="3.2.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2.11.1.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35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7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9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1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3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5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7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97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712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2.%4."/>
      <w:lvlJc w:val="left"/>
      <w:pPr>
        <w:ind w:left="1288" w:hanging="720"/>
      </w:pPr>
      <w:rPr>
        <w:rFonts w:hint="default"/>
        <w:b w:val="0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pStyle w:val="1096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081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1.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pStyle w:val="1273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268"/>
      <w:isLgl w:val="false"/>
      <w:suff w:val="tab"/>
      <w:lvlText w:val="%1.%2."/>
      <w:lvlJc w:val="left"/>
      <w:pPr>
        <w:ind w:left="1271" w:hanging="420"/>
        <w:tabs>
          <w:tab w:val="num" w:pos="1271" w:leader="none"/>
        </w:tabs>
      </w:pPr>
    </w:lvl>
    <w:lvl w:ilvl="2">
      <w:start w:val="1"/>
      <w:numFmt w:val="decimal"/>
      <w:pStyle w:val="1269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1270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pStyle w:val="1271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272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9">
    <w:multiLevelType w:val="hybridMultilevel"/>
    <w:lvl w:ilvl="0">
      <w:start w:val="1"/>
      <w:numFmt w:val="decimal"/>
      <w:pStyle w:val="1257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259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258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260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1" w:hanging="720"/>
      </w:pPr>
      <w:rPr>
        <w:rFonts w:hint="default" w:ascii="Times New Roman" w:hAnsi="Times New Roman" w:cs="Times New Roman"/>
        <w:b w:val="0"/>
      </w:rPr>
    </w:lvl>
    <w:lvl w:ilvl="3">
      <w:start w:val="1"/>
      <w:numFmt w:val="decimal"/>
      <w:isLgl w:val="false"/>
      <w:suff w:val="tab"/>
      <w:lvlText w:val="3.2.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644" w:hanging="3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</w:rPr>
    </w:lvl>
    <w:lvl w:ilvl="3">
      <w:start w:val="8"/>
      <w:numFmt w:val="decimal"/>
      <w:isLgl w:val="false"/>
      <w:suff w:val="tab"/>
      <w:lvlText w:val="4.8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3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6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2.1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2.12.%4."/>
      <w:lvlJc w:val="left"/>
      <w:pPr>
        <w:ind w:left="1004" w:hanging="720"/>
      </w:pPr>
      <w:rPr>
        <w:rFonts w:hint="default"/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1020" w:hanging="66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isLgl w:val="false"/>
      <w:suff w:val="tab"/>
      <w:lvlText w:val="%4)"/>
      <w:lvlJc w:val="left"/>
      <w:pPr>
        <w:ind w:left="1134" w:hanging="1134"/>
        <w:tabs>
          <w:tab w:val="num" w:pos="1134" w:leader="none"/>
        </w:tabs>
      </w:pPr>
      <w:rPr>
        <w:rFonts w:ascii="Times New Roman" w:hAnsi="Times New Roman" w:eastAsia="Times New Roman" w:cs="Times New Roman"/>
        <w:b w:val="0"/>
        <w:i w:val="0"/>
        <w:color w:val="auto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-311" w:hanging="360"/>
        <w:tabs>
          <w:tab w:val="num" w:pos="-311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409" w:hanging="180"/>
        <w:tabs>
          <w:tab w:val="num" w:pos="409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1129" w:hanging="360"/>
        <w:tabs>
          <w:tab w:val="num" w:pos="1129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1849" w:hanging="360"/>
        <w:tabs>
          <w:tab w:val="num" w:pos="1849" w:leader="none"/>
        </w:tabs>
      </w:pPr>
      <w:rPr>
        <w:rFonts w:hint="default"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2569" w:hanging="180"/>
        <w:tabs>
          <w:tab w:val="num" w:pos="2569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3289" w:hanging="360"/>
        <w:tabs>
          <w:tab w:val="num" w:pos="3289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4009" w:hanging="360"/>
        <w:tabs>
          <w:tab w:val="num" w:pos="4009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4729" w:hanging="180"/>
        <w:tabs>
          <w:tab w:val="num" w:pos="4729" w:leader="none"/>
        </w:tabs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093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2.13.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  <w:tabs>
          <w:tab w:val="num" w:pos="252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  <w:tabs>
          <w:tab w:val="num" w:pos="324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num" w:pos="39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num" w:pos="468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num" w:pos="54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num" w:pos="61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num" w:pos="684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num" w:pos="7560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18"/>
  </w:num>
  <w:num w:numId="4">
    <w:abstractNumId w:val="25"/>
  </w:num>
  <w:num w:numId="5">
    <w:abstractNumId w:val="1"/>
  </w:num>
  <w:num w:numId="6">
    <w:abstractNumId w:val="20"/>
  </w:num>
  <w:num w:numId="7">
    <w:abstractNumId w:val="0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</w:num>
  <w:num w:numId="10">
    <w:abstractNumId w:val="42"/>
  </w:num>
  <w:num w:numId="1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8"/>
  </w:num>
  <w:num w:numId="14">
    <w:abstractNumId w:val="23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  <w:num w:numId="18">
    <w:abstractNumId w:val="19"/>
  </w:num>
  <w:num w:numId="19">
    <w:abstractNumId w:val="15"/>
  </w:num>
  <w:num w:numId="20">
    <w:abstractNumId w:val="39"/>
  </w:num>
  <w:num w:numId="21">
    <w:abstractNumId w:val="10"/>
  </w:num>
  <w:num w:numId="22">
    <w:abstractNumId w:val="14"/>
  </w:num>
  <w:num w:numId="23">
    <w:abstractNumId w:val="33"/>
  </w:num>
  <w:num w:numId="24">
    <w:abstractNumId w:val="2"/>
  </w:num>
  <w:num w:numId="25">
    <w:abstractNumId w:val="5"/>
  </w:num>
  <w:num w:numId="26">
    <w:abstractNumId w:val="37"/>
  </w:num>
  <w:num w:numId="27">
    <w:abstractNumId w:val="26"/>
  </w:num>
  <w:num w:numId="28">
    <w:abstractNumId w:val="21"/>
  </w:num>
  <w:num w:numId="29">
    <w:abstractNumId w:val="24"/>
  </w:num>
  <w:num w:numId="30">
    <w:abstractNumId w:val="41"/>
  </w:num>
  <w:num w:numId="31">
    <w:abstractNumId w:val="7"/>
  </w:num>
  <w:num w:numId="32">
    <w:abstractNumId w:val="36"/>
  </w:num>
  <w:num w:numId="33">
    <w:abstractNumId w:val="34"/>
  </w:num>
  <w:num w:numId="34">
    <w:abstractNumId w:val="32"/>
  </w:num>
  <w:num w:numId="35">
    <w:abstractNumId w:val="13"/>
  </w:num>
  <w:num w:numId="36">
    <w:abstractNumId w:val="38"/>
  </w:num>
  <w:num w:numId="37">
    <w:abstractNumId w:val="3"/>
  </w:num>
  <w:num w:numId="38">
    <w:abstractNumId w:val="31"/>
  </w:num>
  <w:num w:numId="39">
    <w:abstractNumId w:val="30"/>
  </w:num>
  <w:num w:numId="40">
    <w:abstractNumId w:val="17"/>
  </w:num>
  <w:num w:numId="41">
    <w:abstractNumId w:val="11"/>
  </w:num>
  <w:num w:numId="42">
    <w:abstractNumId w:val="27"/>
  </w:num>
  <w:num w:numId="43">
    <w:abstractNumId w:val="16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eachPage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10">
    <w:name w:val="Quote Char"/>
    <w:link w:val="936"/>
    <w:uiPriority w:val="29"/>
    <w:rPr>
      <w:i/>
    </w:rPr>
  </w:style>
  <w:style w:type="character" w:styleId="911">
    <w:name w:val="Intense Quote Char"/>
    <w:link w:val="938"/>
    <w:uiPriority w:val="30"/>
    <w:rPr>
      <w:i/>
    </w:rPr>
  </w:style>
  <w:style w:type="paragraph" w:styleId="912" w:default="1">
    <w:name w:val="Normal"/>
    <w:qFormat/>
    <w:pPr>
      <w:jc w:val="both"/>
      <w:spacing w:after="60"/>
    </w:pPr>
    <w:rPr>
      <w:sz w:val="24"/>
      <w:szCs w:val="24"/>
    </w:rPr>
  </w:style>
  <w:style w:type="paragraph" w:styleId="913">
    <w:name w:val="Heading 1"/>
    <w:basedOn w:val="912"/>
    <w:next w:val="912"/>
    <w:link w:val="1071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914">
    <w:name w:val="Heading 2"/>
    <w:basedOn w:val="912"/>
    <w:next w:val="912"/>
    <w:link w:val="1072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915">
    <w:name w:val="Heading 3"/>
    <w:basedOn w:val="912"/>
    <w:next w:val="912"/>
    <w:link w:val="1073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916">
    <w:name w:val="Heading 4"/>
    <w:basedOn w:val="912"/>
    <w:next w:val="912"/>
    <w:link w:val="1074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917">
    <w:name w:val="Heading 5"/>
    <w:basedOn w:val="912"/>
    <w:next w:val="912"/>
    <w:link w:val="1075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918">
    <w:name w:val="Heading 6"/>
    <w:basedOn w:val="912"/>
    <w:next w:val="912"/>
    <w:link w:val="1076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919">
    <w:name w:val="Heading 7"/>
    <w:basedOn w:val="912"/>
    <w:next w:val="912"/>
    <w:link w:val="1077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920">
    <w:name w:val="Heading 8"/>
    <w:basedOn w:val="912"/>
    <w:next w:val="912"/>
    <w:link w:val="1078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921">
    <w:name w:val="Heading 9"/>
    <w:basedOn w:val="912"/>
    <w:next w:val="912"/>
    <w:link w:val="1079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922" w:default="1">
    <w:name w:val="Default Paragraph Font"/>
    <w:uiPriority w:val="1"/>
    <w:semiHidden/>
    <w:unhideWhenUsed/>
  </w:style>
  <w:style w:type="table" w:styleId="92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4" w:default="1">
    <w:name w:val="No List"/>
    <w:uiPriority w:val="99"/>
    <w:semiHidden/>
    <w:unhideWhenUsed/>
  </w:style>
  <w:style w:type="character" w:styleId="925" w:customStyle="1">
    <w:name w:val="Heading 1 Char"/>
    <w:basedOn w:val="922"/>
    <w:uiPriority w:val="9"/>
    <w:rPr>
      <w:rFonts w:ascii="Arial" w:hAnsi="Arial" w:eastAsia="Arial" w:cs="Arial"/>
      <w:sz w:val="40"/>
      <w:szCs w:val="40"/>
    </w:rPr>
  </w:style>
  <w:style w:type="character" w:styleId="926" w:customStyle="1">
    <w:name w:val="Heading 2 Char"/>
    <w:basedOn w:val="922"/>
    <w:uiPriority w:val="9"/>
    <w:rPr>
      <w:rFonts w:ascii="Arial" w:hAnsi="Arial" w:eastAsia="Arial" w:cs="Arial"/>
      <w:sz w:val="34"/>
    </w:rPr>
  </w:style>
  <w:style w:type="character" w:styleId="927" w:customStyle="1">
    <w:name w:val="Heading 3 Char"/>
    <w:basedOn w:val="922"/>
    <w:uiPriority w:val="9"/>
    <w:rPr>
      <w:rFonts w:ascii="Arial" w:hAnsi="Arial" w:eastAsia="Arial" w:cs="Arial"/>
      <w:sz w:val="30"/>
      <w:szCs w:val="30"/>
    </w:rPr>
  </w:style>
  <w:style w:type="character" w:styleId="928" w:customStyle="1">
    <w:name w:val="Heading 4 Char"/>
    <w:basedOn w:val="922"/>
    <w:uiPriority w:val="9"/>
    <w:rPr>
      <w:rFonts w:ascii="Arial" w:hAnsi="Arial" w:eastAsia="Arial" w:cs="Arial"/>
      <w:b/>
      <w:bCs/>
      <w:sz w:val="26"/>
      <w:szCs w:val="26"/>
    </w:rPr>
  </w:style>
  <w:style w:type="character" w:styleId="929" w:customStyle="1">
    <w:name w:val="Heading 5 Char"/>
    <w:basedOn w:val="922"/>
    <w:uiPriority w:val="9"/>
    <w:rPr>
      <w:rFonts w:ascii="Arial" w:hAnsi="Arial" w:eastAsia="Arial" w:cs="Arial"/>
      <w:b/>
      <w:bCs/>
      <w:sz w:val="24"/>
      <w:szCs w:val="24"/>
    </w:rPr>
  </w:style>
  <w:style w:type="character" w:styleId="930" w:customStyle="1">
    <w:name w:val="Heading 6 Char"/>
    <w:basedOn w:val="922"/>
    <w:uiPriority w:val="9"/>
    <w:rPr>
      <w:rFonts w:ascii="Arial" w:hAnsi="Arial" w:eastAsia="Arial" w:cs="Arial"/>
      <w:b/>
      <w:bCs/>
      <w:sz w:val="22"/>
      <w:szCs w:val="22"/>
    </w:rPr>
  </w:style>
  <w:style w:type="character" w:styleId="931" w:customStyle="1">
    <w:name w:val="Heading 7 Char"/>
    <w:basedOn w:val="9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32" w:customStyle="1">
    <w:name w:val="Heading 8 Char"/>
    <w:basedOn w:val="922"/>
    <w:uiPriority w:val="9"/>
    <w:rPr>
      <w:rFonts w:ascii="Arial" w:hAnsi="Arial" w:eastAsia="Arial" w:cs="Arial"/>
      <w:i/>
      <w:iCs/>
      <w:sz w:val="22"/>
      <w:szCs w:val="22"/>
    </w:rPr>
  </w:style>
  <w:style w:type="character" w:styleId="933" w:customStyle="1">
    <w:name w:val="Heading 9 Char"/>
    <w:basedOn w:val="922"/>
    <w:uiPriority w:val="9"/>
    <w:rPr>
      <w:rFonts w:ascii="Arial" w:hAnsi="Arial" w:eastAsia="Arial" w:cs="Arial"/>
      <w:i/>
      <w:iCs/>
      <w:sz w:val="21"/>
      <w:szCs w:val="21"/>
    </w:rPr>
  </w:style>
  <w:style w:type="character" w:styleId="934" w:customStyle="1">
    <w:name w:val="Title Char"/>
    <w:basedOn w:val="922"/>
    <w:uiPriority w:val="10"/>
    <w:rPr>
      <w:sz w:val="48"/>
      <w:szCs w:val="48"/>
    </w:rPr>
  </w:style>
  <w:style w:type="character" w:styleId="935" w:customStyle="1">
    <w:name w:val="Subtitle Char"/>
    <w:basedOn w:val="922"/>
    <w:uiPriority w:val="11"/>
    <w:rPr>
      <w:sz w:val="24"/>
      <w:szCs w:val="24"/>
    </w:rPr>
  </w:style>
  <w:style w:type="paragraph" w:styleId="936">
    <w:name w:val="Quote"/>
    <w:basedOn w:val="912"/>
    <w:next w:val="912"/>
    <w:link w:val="937"/>
    <w:uiPriority w:val="29"/>
    <w:qFormat/>
    <w:pPr>
      <w:ind w:left="720" w:right="720"/>
    </w:pPr>
    <w:rPr>
      <w:i/>
    </w:rPr>
  </w:style>
  <w:style w:type="character" w:styleId="937" w:customStyle="1">
    <w:name w:val="Цитата 2 Знак"/>
    <w:link w:val="936"/>
    <w:uiPriority w:val="29"/>
    <w:rPr>
      <w:i/>
    </w:rPr>
  </w:style>
  <w:style w:type="paragraph" w:styleId="938">
    <w:name w:val="Intense Quote"/>
    <w:basedOn w:val="912"/>
    <w:next w:val="912"/>
    <w:link w:val="93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39" w:customStyle="1">
    <w:name w:val="Выделенная цитата Знак"/>
    <w:link w:val="938"/>
    <w:uiPriority w:val="30"/>
    <w:rPr>
      <w:i/>
    </w:rPr>
  </w:style>
  <w:style w:type="character" w:styleId="940" w:customStyle="1">
    <w:name w:val="Header Char"/>
    <w:basedOn w:val="922"/>
    <w:uiPriority w:val="99"/>
  </w:style>
  <w:style w:type="character" w:styleId="941" w:customStyle="1">
    <w:name w:val="Footer Char"/>
    <w:basedOn w:val="922"/>
    <w:uiPriority w:val="99"/>
  </w:style>
  <w:style w:type="character" w:styleId="942" w:customStyle="1">
    <w:name w:val="Caption Char"/>
    <w:uiPriority w:val="99"/>
  </w:style>
  <w:style w:type="table" w:styleId="943" w:customStyle="1">
    <w:name w:val="Table Grid Light"/>
    <w:basedOn w:val="92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44" w:customStyle="1">
    <w:name w:val="Plain Table 1"/>
    <w:basedOn w:val="92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5" w:customStyle="1">
    <w:name w:val="Plain Table 2"/>
    <w:basedOn w:val="92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46" w:customStyle="1">
    <w:name w:val="Plain Table 3"/>
    <w:basedOn w:val="9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47" w:customStyle="1">
    <w:name w:val="Plain Table 4"/>
    <w:basedOn w:val="9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Plain Table 5"/>
    <w:basedOn w:val="92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49" w:customStyle="1">
    <w:name w:val="Grid Table 1 Light"/>
    <w:basedOn w:val="92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Grid Table 1 Light - Accent 1"/>
    <w:basedOn w:val="92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Grid Table 1 Light - Accent 2"/>
    <w:basedOn w:val="92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Grid Table 1 Light - Accent 3"/>
    <w:basedOn w:val="92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Grid Table 1 Light - Accent 4"/>
    <w:basedOn w:val="92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Grid Table 1 Light - Accent 5"/>
    <w:basedOn w:val="92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Grid Table 1 Light - Accent 6"/>
    <w:basedOn w:val="92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Grid Table 2"/>
    <w:basedOn w:val="9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Grid Table 2 - Accent 1"/>
    <w:basedOn w:val="92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Grid Table 2 - Accent 2"/>
    <w:basedOn w:val="92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Grid Table 2 - Accent 3"/>
    <w:basedOn w:val="92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Grid Table 2 - Accent 4"/>
    <w:basedOn w:val="92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Grid Table 2 - Accent 5"/>
    <w:basedOn w:val="92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2 - Accent 6"/>
    <w:basedOn w:val="92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3"/>
    <w:basedOn w:val="92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3 - Accent 1"/>
    <w:basedOn w:val="92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3 - Accent 2"/>
    <w:basedOn w:val="92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Grid Table 3 - Accent 3"/>
    <w:basedOn w:val="92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Grid Table 3 - Accent 4"/>
    <w:basedOn w:val="92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Grid Table 3 - Accent 5"/>
    <w:basedOn w:val="92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Grid Table 3 - Accent 6"/>
    <w:basedOn w:val="92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Grid Table 4"/>
    <w:basedOn w:val="92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71" w:customStyle="1">
    <w:name w:val="Grid Table 4 - Accent 1"/>
    <w:basedOn w:val="92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72" w:customStyle="1">
    <w:name w:val="Grid Table 4 - Accent 2"/>
    <w:basedOn w:val="92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73" w:customStyle="1">
    <w:name w:val="Grid Table 4 - Accent 3"/>
    <w:basedOn w:val="92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74" w:customStyle="1">
    <w:name w:val="Grid Table 4 - Accent 4"/>
    <w:basedOn w:val="92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75" w:customStyle="1">
    <w:name w:val="Grid Table 4 - Accent 5"/>
    <w:basedOn w:val="92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76" w:customStyle="1">
    <w:name w:val="Grid Table 4 - Accent 6"/>
    <w:basedOn w:val="92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77" w:customStyle="1">
    <w:name w:val="Grid Table 5 Dark"/>
    <w:basedOn w:val="9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78" w:customStyle="1">
    <w:name w:val="Grid Table 5 Dark- Accent 1"/>
    <w:basedOn w:val="9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79" w:customStyle="1">
    <w:name w:val="Grid Table 5 Dark - Accent 2"/>
    <w:basedOn w:val="9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80" w:customStyle="1">
    <w:name w:val="Grid Table 5 Dark - Accent 3"/>
    <w:basedOn w:val="9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81" w:customStyle="1">
    <w:name w:val="Grid Table 5 Dark- Accent 4"/>
    <w:basedOn w:val="9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82" w:customStyle="1">
    <w:name w:val="Grid Table 5 Dark - Accent 5"/>
    <w:basedOn w:val="9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83" w:customStyle="1">
    <w:name w:val="Grid Table 5 Dark - Accent 6"/>
    <w:basedOn w:val="92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84" w:customStyle="1">
    <w:name w:val="Grid Table 6 Colorful"/>
    <w:basedOn w:val="92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85" w:customStyle="1">
    <w:name w:val="Grid Table 6 Colorful - Accent 1"/>
    <w:basedOn w:val="92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86" w:customStyle="1">
    <w:name w:val="Grid Table 6 Colorful - Accent 2"/>
    <w:basedOn w:val="92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87" w:customStyle="1">
    <w:name w:val="Grid Table 6 Colorful - Accent 3"/>
    <w:basedOn w:val="92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88" w:customStyle="1">
    <w:name w:val="Grid Table 6 Colorful - Accent 4"/>
    <w:basedOn w:val="92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89" w:customStyle="1">
    <w:name w:val="Grid Table 6 Colorful - Accent 5"/>
    <w:basedOn w:val="92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90" w:customStyle="1">
    <w:name w:val="Grid Table 6 Colorful - Accent 6"/>
    <w:basedOn w:val="92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91" w:customStyle="1">
    <w:name w:val="Grid Table 7 Colorful"/>
    <w:basedOn w:val="92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2" w:customStyle="1">
    <w:name w:val="Grid Table 7 Colorful - Accent 1"/>
    <w:basedOn w:val="92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3" w:customStyle="1">
    <w:name w:val="Grid Table 7 Colorful - Accent 2"/>
    <w:basedOn w:val="92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4" w:customStyle="1">
    <w:name w:val="Grid Table 7 Colorful - Accent 3"/>
    <w:basedOn w:val="92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5" w:customStyle="1">
    <w:name w:val="Grid Table 7 Colorful - Accent 4"/>
    <w:basedOn w:val="92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6" w:customStyle="1">
    <w:name w:val="Grid Table 7 Colorful - Accent 5"/>
    <w:basedOn w:val="92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7" w:customStyle="1">
    <w:name w:val="Grid Table 7 Colorful - Accent 6"/>
    <w:basedOn w:val="92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98" w:customStyle="1">
    <w:name w:val="List Table 1 Light"/>
    <w:basedOn w:val="92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 w:customStyle="1">
    <w:name w:val="List Table 1 Light - Accent 1"/>
    <w:basedOn w:val="92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0" w:customStyle="1">
    <w:name w:val="List Table 1 Light - Accent 2"/>
    <w:basedOn w:val="92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1" w:customStyle="1">
    <w:name w:val="List Table 1 Light - Accent 3"/>
    <w:basedOn w:val="92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2" w:customStyle="1">
    <w:name w:val="List Table 1 Light - Accent 4"/>
    <w:basedOn w:val="92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3" w:customStyle="1">
    <w:name w:val="List Table 1 Light - Accent 5"/>
    <w:basedOn w:val="92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List Table 1 Light - Accent 6"/>
    <w:basedOn w:val="92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List Table 2"/>
    <w:basedOn w:val="92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06" w:customStyle="1">
    <w:name w:val="List Table 2 - Accent 1"/>
    <w:basedOn w:val="92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007" w:customStyle="1">
    <w:name w:val="List Table 2 - Accent 2"/>
    <w:basedOn w:val="92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008" w:customStyle="1">
    <w:name w:val="List Table 2 - Accent 3"/>
    <w:basedOn w:val="92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009" w:customStyle="1">
    <w:name w:val="List Table 2 - Accent 4"/>
    <w:basedOn w:val="92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010" w:customStyle="1">
    <w:name w:val="List Table 2 - Accent 5"/>
    <w:basedOn w:val="92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011" w:customStyle="1">
    <w:name w:val="List Table 2 - Accent 6"/>
    <w:basedOn w:val="92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012" w:customStyle="1">
    <w:name w:val="List Table 3"/>
    <w:basedOn w:val="9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 w:customStyle="1">
    <w:name w:val="List Table 3 - Accent 1"/>
    <w:basedOn w:val="92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 w:customStyle="1">
    <w:name w:val="List Table 3 - Accent 2"/>
    <w:basedOn w:val="92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5" w:customStyle="1">
    <w:name w:val="List Table 3 - Accent 3"/>
    <w:basedOn w:val="92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6" w:customStyle="1">
    <w:name w:val="List Table 3 - Accent 4"/>
    <w:basedOn w:val="92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7" w:customStyle="1">
    <w:name w:val="List Table 3 - Accent 5"/>
    <w:basedOn w:val="92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8" w:customStyle="1">
    <w:name w:val="List Table 3 - Accent 6"/>
    <w:basedOn w:val="92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9" w:customStyle="1">
    <w:name w:val="List Table 4"/>
    <w:basedOn w:val="92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0" w:customStyle="1">
    <w:name w:val="List Table 4 - Accent 1"/>
    <w:basedOn w:val="92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1" w:customStyle="1">
    <w:name w:val="List Table 4 - Accent 2"/>
    <w:basedOn w:val="92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2" w:customStyle="1">
    <w:name w:val="List Table 4 - Accent 3"/>
    <w:basedOn w:val="92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3" w:customStyle="1">
    <w:name w:val="List Table 4 - Accent 4"/>
    <w:basedOn w:val="92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4" w:customStyle="1">
    <w:name w:val="List Table 4 - Accent 5"/>
    <w:basedOn w:val="92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5" w:customStyle="1">
    <w:name w:val="List Table 4 - Accent 6"/>
    <w:basedOn w:val="92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26" w:customStyle="1">
    <w:name w:val="List Table 5 Dark"/>
    <w:basedOn w:val="92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7" w:customStyle="1">
    <w:name w:val="List Table 5 Dark - Accent 1"/>
    <w:basedOn w:val="92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8" w:customStyle="1">
    <w:name w:val="List Table 5 Dark - Accent 2"/>
    <w:basedOn w:val="92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29" w:customStyle="1">
    <w:name w:val="List Table 5 Dark - Accent 3"/>
    <w:basedOn w:val="92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0" w:customStyle="1">
    <w:name w:val="List Table 5 Dark - Accent 4"/>
    <w:basedOn w:val="92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1" w:customStyle="1">
    <w:name w:val="List Table 5 Dark - Accent 5"/>
    <w:basedOn w:val="92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2" w:customStyle="1">
    <w:name w:val="List Table 5 Dark - Accent 6"/>
    <w:basedOn w:val="92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33" w:customStyle="1">
    <w:name w:val="List Table 6 Colorful"/>
    <w:basedOn w:val="92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34" w:customStyle="1">
    <w:name w:val="List Table 6 Colorful - Accent 1"/>
    <w:basedOn w:val="92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035" w:customStyle="1">
    <w:name w:val="List Table 6 Colorful - Accent 2"/>
    <w:basedOn w:val="92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036" w:customStyle="1">
    <w:name w:val="List Table 6 Colorful - Accent 3"/>
    <w:basedOn w:val="92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37" w:customStyle="1">
    <w:name w:val="List Table 6 Colorful - Accent 4"/>
    <w:basedOn w:val="92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38" w:customStyle="1">
    <w:name w:val="List Table 6 Colorful - Accent 5"/>
    <w:basedOn w:val="92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39" w:customStyle="1">
    <w:name w:val="List Table 6 Colorful - Accent 6"/>
    <w:basedOn w:val="92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40" w:customStyle="1">
    <w:name w:val="List Table 7 Colorful"/>
    <w:basedOn w:val="92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1" w:customStyle="1">
    <w:name w:val="List Table 7 Colorful - Accent 1"/>
    <w:basedOn w:val="92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2" w:customStyle="1">
    <w:name w:val="List Table 7 Colorful - Accent 2"/>
    <w:basedOn w:val="92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3" w:customStyle="1">
    <w:name w:val="List Table 7 Colorful - Accent 3"/>
    <w:basedOn w:val="92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4" w:customStyle="1">
    <w:name w:val="List Table 7 Colorful - Accent 4"/>
    <w:basedOn w:val="92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5" w:customStyle="1">
    <w:name w:val="List Table 7 Colorful - Accent 5"/>
    <w:basedOn w:val="92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6" w:customStyle="1">
    <w:name w:val="List Table 7 Colorful - Accent 6"/>
    <w:basedOn w:val="92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047" w:customStyle="1">
    <w:name w:val="Lined - Accent"/>
    <w:basedOn w:val="9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48" w:customStyle="1">
    <w:name w:val="Lined - Accent 1"/>
    <w:basedOn w:val="9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49" w:customStyle="1">
    <w:name w:val="Lined - Accent 2"/>
    <w:basedOn w:val="9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50" w:customStyle="1">
    <w:name w:val="Lined - Accent 3"/>
    <w:basedOn w:val="9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51" w:customStyle="1">
    <w:name w:val="Lined - Accent 4"/>
    <w:basedOn w:val="9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52" w:customStyle="1">
    <w:name w:val="Lined - Accent 5"/>
    <w:basedOn w:val="9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53" w:customStyle="1">
    <w:name w:val="Lined - Accent 6"/>
    <w:basedOn w:val="923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54" w:customStyle="1">
    <w:name w:val="Bordered &amp; Lined - Accent"/>
    <w:basedOn w:val="923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55" w:customStyle="1">
    <w:name w:val="Bordered &amp; Lined - Accent 1"/>
    <w:basedOn w:val="923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56" w:customStyle="1">
    <w:name w:val="Bordered &amp; Lined - Accent 2"/>
    <w:basedOn w:val="923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57" w:customStyle="1">
    <w:name w:val="Bordered &amp; Lined - Accent 3"/>
    <w:basedOn w:val="923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58" w:customStyle="1">
    <w:name w:val="Bordered &amp; Lined - Accent 4"/>
    <w:basedOn w:val="923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59" w:customStyle="1">
    <w:name w:val="Bordered &amp; Lined - Accent 5"/>
    <w:basedOn w:val="923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60" w:customStyle="1">
    <w:name w:val="Bordered &amp; Lined - Accent 6"/>
    <w:basedOn w:val="923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61" w:customStyle="1">
    <w:name w:val="Bordered"/>
    <w:basedOn w:val="92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62" w:customStyle="1">
    <w:name w:val="Bordered - Accent 1"/>
    <w:basedOn w:val="92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63" w:customStyle="1">
    <w:name w:val="Bordered - Accent 2"/>
    <w:basedOn w:val="92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64" w:customStyle="1">
    <w:name w:val="Bordered - Accent 3"/>
    <w:basedOn w:val="92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65" w:customStyle="1">
    <w:name w:val="Bordered - Accent 4"/>
    <w:basedOn w:val="92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66" w:customStyle="1">
    <w:name w:val="Bordered - Accent 5"/>
    <w:basedOn w:val="92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67" w:customStyle="1">
    <w:name w:val="Bordered - Accent 6"/>
    <w:basedOn w:val="92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68" w:customStyle="1">
    <w:name w:val="Footnote Text Char"/>
    <w:uiPriority w:val="99"/>
    <w:rPr>
      <w:sz w:val="18"/>
    </w:rPr>
  </w:style>
  <w:style w:type="character" w:styleId="1069" w:customStyle="1">
    <w:name w:val="Endnote Text Char"/>
    <w:uiPriority w:val="99"/>
    <w:rPr>
      <w:sz w:val="20"/>
    </w:rPr>
  </w:style>
  <w:style w:type="paragraph" w:styleId="1070">
    <w:name w:val="table of figures"/>
    <w:basedOn w:val="912"/>
    <w:next w:val="912"/>
    <w:uiPriority w:val="99"/>
    <w:unhideWhenUsed/>
    <w:pPr>
      <w:spacing w:after="0"/>
    </w:pPr>
  </w:style>
  <w:style w:type="character" w:styleId="1071" w:customStyle="1">
    <w:name w:val="Заголовок 1 Знак1"/>
    <w:link w:val="913"/>
    <w:uiPriority w:val="99"/>
    <w:rPr>
      <w:b/>
      <w:bCs/>
      <w:sz w:val="36"/>
      <w:szCs w:val="36"/>
    </w:rPr>
  </w:style>
  <w:style w:type="character" w:styleId="1072" w:customStyle="1">
    <w:name w:val="Заголовок 2 Знак"/>
    <w:link w:val="914"/>
    <w:uiPriority w:val="99"/>
    <w:rPr>
      <w:b/>
      <w:bCs/>
      <w:sz w:val="30"/>
      <w:szCs w:val="30"/>
    </w:rPr>
  </w:style>
  <w:style w:type="character" w:styleId="1073" w:customStyle="1">
    <w:name w:val="Заголовок 3 Знак"/>
    <w:link w:val="915"/>
    <w:uiPriority w:val="99"/>
    <w:rPr>
      <w:rFonts w:ascii="Arial" w:hAnsi="Arial" w:cs="Arial"/>
      <w:b/>
      <w:bCs/>
      <w:sz w:val="24"/>
      <w:szCs w:val="24"/>
    </w:rPr>
  </w:style>
  <w:style w:type="character" w:styleId="1074" w:customStyle="1">
    <w:name w:val="Заголовок 4 Знак"/>
    <w:link w:val="916"/>
    <w:uiPriority w:val="99"/>
    <w:rPr>
      <w:rFonts w:ascii="Arial" w:hAnsi="Arial" w:cs="Arial"/>
      <w:sz w:val="24"/>
      <w:szCs w:val="24"/>
    </w:rPr>
  </w:style>
  <w:style w:type="character" w:styleId="1075" w:customStyle="1">
    <w:name w:val="Заголовок 5 Знак"/>
    <w:link w:val="917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076" w:customStyle="1">
    <w:name w:val="Заголовок 6 Знак"/>
    <w:link w:val="918"/>
    <w:uiPriority w:val="99"/>
    <w:rPr>
      <w:i/>
      <w:iCs/>
    </w:rPr>
  </w:style>
  <w:style w:type="character" w:styleId="1077" w:customStyle="1">
    <w:name w:val="Заголовок 7 Знак"/>
    <w:link w:val="919"/>
    <w:uiPriority w:val="99"/>
    <w:rPr>
      <w:rFonts w:ascii="Arial" w:hAnsi="Arial" w:cs="Arial"/>
      <w:sz w:val="20"/>
      <w:szCs w:val="20"/>
    </w:rPr>
  </w:style>
  <w:style w:type="character" w:styleId="1078" w:customStyle="1">
    <w:name w:val="Заголовок 8 Знак"/>
    <w:link w:val="920"/>
    <w:uiPriority w:val="99"/>
    <w:rPr>
      <w:rFonts w:ascii="Arial" w:hAnsi="Arial" w:cs="Arial"/>
      <w:i/>
      <w:iCs/>
      <w:sz w:val="20"/>
      <w:szCs w:val="20"/>
    </w:rPr>
  </w:style>
  <w:style w:type="character" w:styleId="1079" w:customStyle="1">
    <w:name w:val="Заголовок 9 Знак"/>
    <w:link w:val="921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1080" w:customStyle="1">
    <w:name w:val="Основной текст с отступом1"/>
    <w:basedOn w:val="912"/>
    <w:uiPriority w:val="99"/>
    <w:pPr>
      <w:ind w:firstLine="851"/>
      <w:spacing w:before="60" w:after="0"/>
    </w:pPr>
  </w:style>
  <w:style w:type="paragraph" w:styleId="1081">
    <w:name w:val="Body Text Indent"/>
    <w:basedOn w:val="912"/>
    <w:link w:val="1082"/>
    <w:uiPriority w:val="99"/>
    <w:pPr>
      <w:numPr>
        <w:ilvl w:val="1"/>
        <w:numId w:val="4"/>
      </w:numPr>
    </w:pPr>
  </w:style>
  <w:style w:type="character" w:styleId="1082" w:customStyle="1">
    <w:name w:val="Основной текст с отступом Знак"/>
    <w:link w:val="1081"/>
    <w:uiPriority w:val="99"/>
    <w:rPr>
      <w:sz w:val="24"/>
      <w:szCs w:val="24"/>
    </w:rPr>
  </w:style>
  <w:style w:type="paragraph" w:styleId="1083">
    <w:name w:val="List Bullet"/>
    <w:basedOn w:val="912"/>
    <w:uiPriority w:val="99"/>
    <w:pPr>
      <w:widowControl w:val="off"/>
    </w:pPr>
  </w:style>
  <w:style w:type="paragraph" w:styleId="1084">
    <w:name w:val="List Bullet 2"/>
    <w:basedOn w:val="912"/>
    <w:uiPriority w:val="99"/>
    <w:pPr>
      <w:ind w:left="643" w:hanging="360"/>
      <w:tabs>
        <w:tab w:val="num" w:pos="643" w:leader="none"/>
      </w:tabs>
    </w:pPr>
  </w:style>
  <w:style w:type="paragraph" w:styleId="1085">
    <w:name w:val="List Bullet 3"/>
    <w:basedOn w:val="912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086">
    <w:name w:val="List Bullet 4"/>
    <w:basedOn w:val="912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087">
    <w:name w:val="List Bullet 5"/>
    <w:basedOn w:val="912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088">
    <w:name w:val="List Number"/>
    <w:basedOn w:val="912"/>
    <w:uiPriority w:val="99"/>
    <w:pPr>
      <w:ind w:left="360" w:hanging="360"/>
      <w:tabs>
        <w:tab w:val="num" w:pos="1492" w:leader="none"/>
      </w:tabs>
    </w:pPr>
  </w:style>
  <w:style w:type="paragraph" w:styleId="1089">
    <w:name w:val="List Number 2"/>
    <w:basedOn w:val="912"/>
    <w:uiPriority w:val="99"/>
    <w:pPr>
      <w:ind w:left="643" w:hanging="360"/>
      <w:tabs>
        <w:tab w:val="num" w:pos="643" w:leader="none"/>
      </w:tabs>
    </w:pPr>
  </w:style>
  <w:style w:type="paragraph" w:styleId="1090">
    <w:name w:val="List Number 3"/>
    <w:basedOn w:val="912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091">
    <w:name w:val="List Number 4"/>
    <w:basedOn w:val="912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092">
    <w:name w:val="List Number 5"/>
    <w:basedOn w:val="912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093" w:customStyle="1">
    <w:name w:val="Раздел"/>
    <w:basedOn w:val="912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094" w:customStyle="1">
    <w:name w:val="Часть"/>
    <w:basedOn w:val="912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1095" w:customStyle="1">
    <w:name w:val="Раздел 3"/>
    <w:basedOn w:val="912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1096" w:customStyle="1">
    <w:name w:val="Условия контракта"/>
    <w:basedOn w:val="912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1097" w:customStyle="1">
    <w:name w:val="Instruction"/>
    <w:basedOn w:val="1081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1098">
    <w:name w:val="Title"/>
    <w:basedOn w:val="912"/>
    <w:link w:val="1099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099" w:customStyle="1">
    <w:name w:val="Название Знак"/>
    <w:link w:val="1098"/>
    <w:uiPriority w:val="99"/>
    <w:rPr>
      <w:rFonts w:ascii="Cambria" w:hAnsi="Cambria" w:cs="Cambria"/>
      <w:b/>
      <w:bCs/>
      <w:sz w:val="32"/>
      <w:szCs w:val="32"/>
    </w:rPr>
  </w:style>
  <w:style w:type="paragraph" w:styleId="1100">
    <w:name w:val="Subtitle"/>
    <w:basedOn w:val="912"/>
    <w:link w:val="1101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101" w:customStyle="1">
    <w:name w:val="Подзаголовок Знак"/>
    <w:link w:val="1100"/>
    <w:uiPriority w:val="99"/>
    <w:rPr>
      <w:rFonts w:ascii="Cambria" w:hAnsi="Cambria" w:cs="Cambria"/>
      <w:sz w:val="24"/>
      <w:szCs w:val="24"/>
    </w:rPr>
  </w:style>
  <w:style w:type="paragraph" w:styleId="1102" w:customStyle="1">
    <w:name w:val="Тендерные данные"/>
    <w:basedOn w:val="912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1103">
    <w:name w:val="toc 3"/>
    <w:basedOn w:val="912"/>
    <w:next w:val="912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104">
    <w:name w:val="toc 1"/>
    <w:basedOn w:val="912"/>
    <w:next w:val="912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1105">
    <w:name w:val="toc 2"/>
    <w:basedOn w:val="912"/>
    <w:next w:val="912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1106">
    <w:name w:val="Date"/>
    <w:basedOn w:val="912"/>
    <w:next w:val="912"/>
    <w:link w:val="1107"/>
    <w:uiPriority w:val="99"/>
  </w:style>
  <w:style w:type="character" w:styleId="1107" w:customStyle="1">
    <w:name w:val="Дата Знак"/>
    <w:link w:val="1106"/>
    <w:uiPriority w:val="99"/>
    <w:semiHidden/>
    <w:rPr>
      <w:sz w:val="24"/>
      <w:szCs w:val="24"/>
    </w:rPr>
  </w:style>
  <w:style w:type="paragraph" w:styleId="1108" w:customStyle="1">
    <w:name w:val="Îáû÷íûé"/>
    <w:uiPriority w:val="99"/>
    <w:semiHidden/>
  </w:style>
  <w:style w:type="paragraph" w:styleId="1109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110">
    <w:name w:val="Body Text"/>
    <w:basedOn w:val="912"/>
    <w:link w:val="1111"/>
    <w:pPr>
      <w:spacing w:after="120"/>
    </w:pPr>
  </w:style>
  <w:style w:type="character" w:styleId="1111" w:customStyle="1">
    <w:name w:val="Основной текст Знак"/>
    <w:link w:val="1110"/>
    <w:rPr>
      <w:sz w:val="24"/>
      <w:szCs w:val="24"/>
    </w:rPr>
  </w:style>
  <w:style w:type="paragraph" w:styleId="1112" w:customStyle="1">
    <w:name w:val="Подраздел"/>
    <w:basedOn w:val="912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113">
    <w:name w:val="Body Text Indent 2"/>
    <w:basedOn w:val="912"/>
    <w:link w:val="1114"/>
    <w:uiPriority w:val="99"/>
    <w:pPr>
      <w:ind w:left="283"/>
      <w:spacing w:after="120" w:line="480" w:lineRule="auto"/>
    </w:pPr>
  </w:style>
  <w:style w:type="character" w:styleId="1114" w:customStyle="1">
    <w:name w:val="Основной текст с отступом 2 Знак"/>
    <w:link w:val="1113"/>
    <w:uiPriority w:val="99"/>
    <w:semiHidden/>
    <w:rPr>
      <w:sz w:val="24"/>
      <w:szCs w:val="24"/>
    </w:rPr>
  </w:style>
  <w:style w:type="paragraph" w:styleId="1115">
    <w:name w:val="Body Text Indent 3"/>
    <w:basedOn w:val="912"/>
    <w:link w:val="1116"/>
    <w:uiPriority w:val="99"/>
    <w:pPr>
      <w:ind w:left="283"/>
      <w:spacing w:after="120"/>
    </w:pPr>
    <w:rPr>
      <w:sz w:val="16"/>
      <w:szCs w:val="16"/>
    </w:rPr>
  </w:style>
  <w:style w:type="character" w:styleId="1116" w:customStyle="1">
    <w:name w:val="Основной текст с отступом 3 Знак"/>
    <w:link w:val="1115"/>
    <w:uiPriority w:val="99"/>
    <w:semiHidden/>
    <w:rPr>
      <w:sz w:val="16"/>
      <w:szCs w:val="16"/>
    </w:rPr>
  </w:style>
  <w:style w:type="paragraph" w:styleId="1117">
    <w:name w:val="Header"/>
    <w:basedOn w:val="912"/>
    <w:link w:val="1118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118" w:customStyle="1">
    <w:name w:val="Верхний колонтитул Знак"/>
    <w:link w:val="1117"/>
    <w:uiPriority w:val="99"/>
    <w:rPr>
      <w:sz w:val="24"/>
      <w:szCs w:val="24"/>
    </w:rPr>
  </w:style>
  <w:style w:type="paragraph" w:styleId="1119">
    <w:name w:val="Block Text"/>
    <w:basedOn w:val="912"/>
    <w:uiPriority w:val="99"/>
    <w:pPr>
      <w:ind w:left="1440" w:right="1440"/>
      <w:spacing w:after="120"/>
    </w:pPr>
  </w:style>
  <w:style w:type="character" w:styleId="1120">
    <w:name w:val="footnote reference"/>
    <w:uiPriority w:val="99"/>
    <w:qFormat/>
    <w:rPr>
      <w:rFonts w:ascii="Times New Roman" w:hAnsi="Times New Roman" w:cs="Times New Roman"/>
      <w:vertAlign w:val="superscript"/>
    </w:rPr>
  </w:style>
  <w:style w:type="paragraph" w:styleId="1121">
    <w:name w:val="footnote text"/>
    <w:basedOn w:val="912"/>
    <w:link w:val="1122"/>
    <w:uiPriority w:val="99"/>
    <w:qFormat/>
    <w:rPr>
      <w:sz w:val="20"/>
      <w:szCs w:val="20"/>
    </w:rPr>
  </w:style>
  <w:style w:type="character" w:styleId="1122" w:customStyle="1">
    <w:name w:val="Текст сноски Знак"/>
    <w:link w:val="1121"/>
    <w:uiPriority w:val="99"/>
    <w:qFormat/>
    <w:rPr>
      <w:sz w:val="20"/>
      <w:szCs w:val="20"/>
    </w:rPr>
  </w:style>
  <w:style w:type="character" w:styleId="1123">
    <w:name w:val="page number"/>
    <w:uiPriority w:val="99"/>
    <w:rPr>
      <w:rFonts w:ascii="Times New Roman" w:hAnsi="Times New Roman" w:cs="Times New Roman"/>
    </w:rPr>
  </w:style>
  <w:style w:type="paragraph" w:styleId="1124">
    <w:name w:val="Footer"/>
    <w:basedOn w:val="912"/>
    <w:link w:val="1125"/>
    <w:uiPriority w:val="99"/>
    <w:pPr>
      <w:tabs>
        <w:tab w:val="center" w:pos="4153" w:leader="none"/>
        <w:tab w:val="right" w:pos="8306" w:leader="none"/>
      </w:tabs>
    </w:pPr>
  </w:style>
  <w:style w:type="character" w:styleId="1125" w:customStyle="1">
    <w:name w:val="Нижний колонтитул Знак"/>
    <w:link w:val="1124"/>
    <w:uiPriority w:val="99"/>
    <w:rPr>
      <w:sz w:val="24"/>
      <w:szCs w:val="24"/>
    </w:rPr>
  </w:style>
  <w:style w:type="paragraph" w:styleId="1126">
    <w:name w:val="Body Text 3"/>
    <w:basedOn w:val="912"/>
    <w:link w:val="1127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127" w:customStyle="1">
    <w:name w:val="Основной текст 3 Знак"/>
    <w:link w:val="1126"/>
    <w:uiPriority w:val="99"/>
    <w:semiHidden/>
    <w:rPr>
      <w:sz w:val="16"/>
      <w:szCs w:val="16"/>
    </w:rPr>
  </w:style>
  <w:style w:type="paragraph" w:styleId="1128">
    <w:name w:val="Plain Text"/>
    <w:basedOn w:val="912"/>
    <w:link w:val="1129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129" w:customStyle="1">
    <w:name w:val="Текст Знак"/>
    <w:link w:val="1128"/>
    <w:rPr>
      <w:rFonts w:ascii="Courier New" w:hAnsi="Courier New" w:cs="Courier New"/>
      <w:sz w:val="20"/>
      <w:szCs w:val="20"/>
    </w:rPr>
  </w:style>
  <w:style w:type="paragraph" w:styleId="1130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131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132">
    <w:name w:val="Normal (Web)"/>
    <w:basedOn w:val="912"/>
    <w:uiPriority w:val="99"/>
    <w:pPr>
      <w:jc w:val="left"/>
      <w:spacing w:before="100" w:beforeAutospacing="1" w:after="100" w:afterAutospacing="1"/>
    </w:pPr>
  </w:style>
  <w:style w:type="paragraph" w:styleId="1133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134" w:customStyle="1">
    <w:name w:val="Основной шрифт"/>
    <w:uiPriority w:val="99"/>
    <w:semiHidden/>
  </w:style>
  <w:style w:type="paragraph" w:styleId="1135">
    <w:name w:val="HTML Address"/>
    <w:basedOn w:val="912"/>
    <w:link w:val="1136"/>
    <w:uiPriority w:val="99"/>
    <w:rPr>
      <w:i/>
      <w:iCs/>
    </w:rPr>
  </w:style>
  <w:style w:type="character" w:styleId="1136" w:customStyle="1">
    <w:name w:val="Адрес HTML Знак"/>
    <w:link w:val="1135"/>
    <w:uiPriority w:val="99"/>
    <w:semiHidden/>
    <w:rPr>
      <w:i/>
      <w:iCs/>
      <w:sz w:val="24"/>
      <w:szCs w:val="24"/>
    </w:rPr>
  </w:style>
  <w:style w:type="paragraph" w:styleId="1137">
    <w:name w:val="envelope address"/>
    <w:basedOn w:val="912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138">
    <w:name w:val="HTML Acronym"/>
    <w:basedOn w:val="922"/>
    <w:uiPriority w:val="99"/>
  </w:style>
  <w:style w:type="character" w:styleId="1139">
    <w:name w:val="Emphasis"/>
    <w:uiPriority w:val="99"/>
    <w:qFormat/>
    <w:rPr>
      <w:i/>
      <w:iCs/>
    </w:rPr>
  </w:style>
  <w:style w:type="character" w:styleId="1140">
    <w:name w:val="Hyperlink"/>
    <w:link w:val="1286"/>
    <w:uiPriority w:val="99"/>
    <w:rPr>
      <w:color w:val="0000ff"/>
      <w:u w:val="single"/>
    </w:rPr>
  </w:style>
  <w:style w:type="paragraph" w:styleId="1141">
    <w:name w:val="Note Heading"/>
    <w:basedOn w:val="912"/>
    <w:next w:val="912"/>
    <w:link w:val="1142"/>
    <w:uiPriority w:val="99"/>
  </w:style>
  <w:style w:type="character" w:styleId="1142" w:customStyle="1">
    <w:name w:val="Заголовок записки Знак"/>
    <w:link w:val="1141"/>
    <w:uiPriority w:val="99"/>
    <w:semiHidden/>
    <w:rPr>
      <w:sz w:val="24"/>
      <w:szCs w:val="24"/>
    </w:rPr>
  </w:style>
  <w:style w:type="character" w:styleId="1143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144">
    <w:name w:val="HTML Code"/>
    <w:uiPriority w:val="99"/>
    <w:rPr>
      <w:rFonts w:ascii="Courier New" w:hAnsi="Courier New" w:cs="Courier New"/>
      <w:sz w:val="20"/>
      <w:szCs w:val="20"/>
    </w:rPr>
  </w:style>
  <w:style w:type="paragraph" w:styleId="1145">
    <w:name w:val="Body Text First Indent"/>
    <w:basedOn w:val="1110"/>
    <w:link w:val="1146"/>
    <w:uiPriority w:val="99"/>
    <w:pPr>
      <w:ind w:firstLine="210"/>
    </w:pPr>
  </w:style>
  <w:style w:type="character" w:styleId="1146" w:customStyle="1">
    <w:name w:val="Красная строка Знак"/>
    <w:basedOn w:val="1111"/>
    <w:link w:val="1145"/>
    <w:uiPriority w:val="99"/>
    <w:semiHidden/>
    <w:rPr>
      <w:sz w:val="24"/>
      <w:szCs w:val="24"/>
    </w:rPr>
  </w:style>
  <w:style w:type="paragraph" w:styleId="1147">
    <w:name w:val="Body Text First Indent 2"/>
    <w:basedOn w:val="1080"/>
    <w:link w:val="1148"/>
    <w:uiPriority w:val="99"/>
    <w:pPr>
      <w:ind w:left="283" w:firstLine="210"/>
      <w:spacing w:before="0" w:after="120"/>
    </w:pPr>
  </w:style>
  <w:style w:type="character" w:styleId="1148" w:customStyle="1">
    <w:name w:val="Красная строка 2 Знак"/>
    <w:basedOn w:val="1082"/>
    <w:link w:val="1147"/>
    <w:uiPriority w:val="99"/>
    <w:semiHidden/>
    <w:rPr>
      <w:sz w:val="24"/>
      <w:szCs w:val="24"/>
    </w:rPr>
  </w:style>
  <w:style w:type="character" w:styleId="1149">
    <w:name w:val="line number"/>
    <w:basedOn w:val="922"/>
    <w:uiPriority w:val="99"/>
  </w:style>
  <w:style w:type="character" w:styleId="1150">
    <w:name w:val="HTML Sample"/>
    <w:uiPriority w:val="99"/>
    <w:rPr>
      <w:rFonts w:ascii="Courier New" w:hAnsi="Courier New" w:cs="Courier New"/>
    </w:rPr>
  </w:style>
  <w:style w:type="paragraph" w:styleId="1151">
    <w:name w:val="envelope return"/>
    <w:basedOn w:val="912"/>
    <w:uiPriority w:val="99"/>
    <w:rPr>
      <w:rFonts w:ascii="Arial" w:hAnsi="Arial" w:cs="Arial"/>
      <w:sz w:val="20"/>
      <w:szCs w:val="20"/>
    </w:rPr>
  </w:style>
  <w:style w:type="paragraph" w:styleId="1152">
    <w:name w:val="Normal Indent"/>
    <w:basedOn w:val="912"/>
    <w:uiPriority w:val="99"/>
    <w:pPr>
      <w:ind w:left="708"/>
    </w:pPr>
  </w:style>
  <w:style w:type="character" w:styleId="1153">
    <w:name w:val="HTML Definition"/>
    <w:uiPriority w:val="99"/>
    <w:rPr>
      <w:i/>
      <w:iCs/>
    </w:rPr>
  </w:style>
  <w:style w:type="character" w:styleId="1154">
    <w:name w:val="HTML Variable"/>
    <w:uiPriority w:val="99"/>
    <w:rPr>
      <w:i/>
      <w:iCs/>
    </w:rPr>
  </w:style>
  <w:style w:type="character" w:styleId="1155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156">
    <w:name w:val="Signature"/>
    <w:basedOn w:val="912"/>
    <w:link w:val="1157"/>
    <w:uiPriority w:val="99"/>
    <w:pPr>
      <w:ind w:left="4252"/>
    </w:pPr>
  </w:style>
  <w:style w:type="character" w:styleId="1157" w:customStyle="1">
    <w:name w:val="Подпись Знак"/>
    <w:link w:val="1156"/>
    <w:uiPriority w:val="99"/>
    <w:semiHidden/>
    <w:rPr>
      <w:sz w:val="24"/>
      <w:szCs w:val="24"/>
    </w:rPr>
  </w:style>
  <w:style w:type="paragraph" w:styleId="1158">
    <w:name w:val="Salutation"/>
    <w:basedOn w:val="912"/>
    <w:next w:val="912"/>
    <w:link w:val="1159"/>
    <w:uiPriority w:val="99"/>
  </w:style>
  <w:style w:type="character" w:styleId="1159" w:customStyle="1">
    <w:name w:val="Приветствие Знак"/>
    <w:link w:val="1158"/>
    <w:uiPriority w:val="99"/>
    <w:semiHidden/>
    <w:rPr>
      <w:sz w:val="24"/>
      <w:szCs w:val="24"/>
    </w:rPr>
  </w:style>
  <w:style w:type="paragraph" w:styleId="1160">
    <w:name w:val="List Continue"/>
    <w:basedOn w:val="912"/>
    <w:uiPriority w:val="99"/>
    <w:pPr>
      <w:ind w:left="283"/>
      <w:spacing w:after="120"/>
    </w:pPr>
  </w:style>
  <w:style w:type="paragraph" w:styleId="1161">
    <w:name w:val="List Continue 2"/>
    <w:basedOn w:val="912"/>
    <w:uiPriority w:val="99"/>
    <w:pPr>
      <w:ind w:left="566"/>
      <w:spacing w:after="120"/>
    </w:pPr>
  </w:style>
  <w:style w:type="paragraph" w:styleId="1162">
    <w:name w:val="List Continue 3"/>
    <w:basedOn w:val="912"/>
    <w:uiPriority w:val="99"/>
    <w:pPr>
      <w:ind w:left="849"/>
      <w:spacing w:after="120"/>
    </w:pPr>
  </w:style>
  <w:style w:type="paragraph" w:styleId="1163">
    <w:name w:val="List Continue 4"/>
    <w:basedOn w:val="912"/>
    <w:uiPriority w:val="99"/>
    <w:pPr>
      <w:ind w:left="1132"/>
      <w:spacing w:after="120"/>
    </w:pPr>
  </w:style>
  <w:style w:type="paragraph" w:styleId="1164">
    <w:name w:val="List Continue 5"/>
    <w:basedOn w:val="912"/>
    <w:uiPriority w:val="99"/>
    <w:pPr>
      <w:ind w:left="1415"/>
      <w:spacing w:after="120"/>
    </w:pPr>
  </w:style>
  <w:style w:type="character" w:styleId="1165">
    <w:name w:val="FollowedHyperlink"/>
    <w:uiPriority w:val="99"/>
    <w:rPr>
      <w:color w:val="800080"/>
      <w:u w:val="single"/>
    </w:rPr>
  </w:style>
  <w:style w:type="paragraph" w:styleId="1166">
    <w:name w:val="Closing"/>
    <w:basedOn w:val="912"/>
    <w:link w:val="1167"/>
    <w:uiPriority w:val="99"/>
    <w:pPr>
      <w:ind w:left="4252"/>
    </w:pPr>
  </w:style>
  <w:style w:type="character" w:styleId="1167" w:customStyle="1">
    <w:name w:val="Прощание Знак"/>
    <w:link w:val="1166"/>
    <w:uiPriority w:val="99"/>
    <w:semiHidden/>
    <w:rPr>
      <w:sz w:val="24"/>
      <w:szCs w:val="24"/>
    </w:rPr>
  </w:style>
  <w:style w:type="paragraph" w:styleId="1168">
    <w:name w:val="List"/>
    <w:basedOn w:val="912"/>
    <w:uiPriority w:val="99"/>
    <w:pPr>
      <w:ind w:left="283" w:hanging="283"/>
    </w:pPr>
  </w:style>
  <w:style w:type="paragraph" w:styleId="1169">
    <w:name w:val="List 2"/>
    <w:basedOn w:val="912"/>
    <w:uiPriority w:val="99"/>
    <w:pPr>
      <w:ind w:left="566" w:hanging="283"/>
    </w:pPr>
  </w:style>
  <w:style w:type="paragraph" w:styleId="1170">
    <w:name w:val="List 3"/>
    <w:basedOn w:val="912"/>
    <w:uiPriority w:val="99"/>
    <w:pPr>
      <w:ind w:left="849" w:hanging="283"/>
    </w:pPr>
  </w:style>
  <w:style w:type="paragraph" w:styleId="1171">
    <w:name w:val="List 4"/>
    <w:basedOn w:val="912"/>
    <w:uiPriority w:val="99"/>
    <w:pPr>
      <w:ind w:left="1132" w:hanging="283"/>
    </w:pPr>
  </w:style>
  <w:style w:type="paragraph" w:styleId="1172">
    <w:name w:val="List 5"/>
    <w:basedOn w:val="912"/>
    <w:uiPriority w:val="99"/>
    <w:pPr>
      <w:ind w:left="1415" w:hanging="283"/>
    </w:pPr>
  </w:style>
  <w:style w:type="paragraph" w:styleId="1173">
    <w:name w:val="HTML Preformatted"/>
    <w:basedOn w:val="912"/>
    <w:link w:val="1174"/>
    <w:uiPriority w:val="99"/>
    <w:rPr>
      <w:rFonts w:ascii="Courier New" w:hAnsi="Courier New" w:cs="Courier New"/>
      <w:sz w:val="20"/>
      <w:szCs w:val="20"/>
    </w:rPr>
  </w:style>
  <w:style w:type="character" w:styleId="1174" w:customStyle="1">
    <w:name w:val="Стандартный HTML Знак"/>
    <w:link w:val="1173"/>
    <w:uiPriority w:val="99"/>
    <w:semiHidden/>
    <w:rPr>
      <w:rFonts w:ascii="Courier New" w:hAnsi="Courier New" w:cs="Courier New"/>
      <w:sz w:val="20"/>
      <w:szCs w:val="20"/>
    </w:rPr>
  </w:style>
  <w:style w:type="character" w:styleId="1175">
    <w:name w:val="Strong"/>
    <w:uiPriority w:val="99"/>
    <w:qFormat/>
    <w:rPr>
      <w:b/>
      <w:bCs/>
    </w:rPr>
  </w:style>
  <w:style w:type="character" w:styleId="1176">
    <w:name w:val="HTML Cite"/>
    <w:uiPriority w:val="99"/>
    <w:rPr>
      <w:i/>
      <w:iCs/>
    </w:rPr>
  </w:style>
  <w:style w:type="paragraph" w:styleId="1177">
    <w:name w:val="Message Header"/>
    <w:basedOn w:val="912"/>
    <w:link w:val="1178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178" w:customStyle="1">
    <w:name w:val="Шапка Знак"/>
    <w:link w:val="1177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179">
    <w:name w:val="E-mail Signature"/>
    <w:basedOn w:val="912"/>
    <w:link w:val="1180"/>
    <w:uiPriority w:val="99"/>
  </w:style>
  <w:style w:type="character" w:styleId="1180" w:customStyle="1">
    <w:name w:val="Электронная подпись Знак"/>
    <w:link w:val="1179"/>
    <w:uiPriority w:val="99"/>
    <w:semiHidden/>
    <w:rPr>
      <w:sz w:val="24"/>
      <w:szCs w:val="24"/>
    </w:rPr>
  </w:style>
  <w:style w:type="paragraph" w:styleId="1181">
    <w:name w:val="toc 4"/>
    <w:basedOn w:val="912"/>
    <w:next w:val="912"/>
    <w:uiPriority w:val="39"/>
    <w:pPr>
      <w:ind w:left="720"/>
      <w:jc w:val="left"/>
      <w:spacing w:after="0"/>
    </w:pPr>
    <w:rPr>
      <w:sz w:val="18"/>
      <w:szCs w:val="18"/>
    </w:rPr>
  </w:style>
  <w:style w:type="paragraph" w:styleId="1182">
    <w:name w:val="toc 5"/>
    <w:basedOn w:val="912"/>
    <w:next w:val="912"/>
    <w:uiPriority w:val="39"/>
    <w:pPr>
      <w:ind w:left="960"/>
      <w:jc w:val="left"/>
      <w:spacing w:after="0"/>
    </w:pPr>
    <w:rPr>
      <w:sz w:val="18"/>
      <w:szCs w:val="18"/>
    </w:rPr>
  </w:style>
  <w:style w:type="paragraph" w:styleId="1183">
    <w:name w:val="toc 6"/>
    <w:basedOn w:val="912"/>
    <w:next w:val="912"/>
    <w:uiPriority w:val="39"/>
    <w:pPr>
      <w:ind w:left="1200"/>
      <w:jc w:val="left"/>
      <w:spacing w:after="0"/>
    </w:pPr>
    <w:rPr>
      <w:sz w:val="18"/>
      <w:szCs w:val="18"/>
    </w:rPr>
  </w:style>
  <w:style w:type="paragraph" w:styleId="1184">
    <w:name w:val="toc 7"/>
    <w:basedOn w:val="912"/>
    <w:next w:val="912"/>
    <w:uiPriority w:val="39"/>
    <w:pPr>
      <w:ind w:left="1440"/>
      <w:jc w:val="left"/>
      <w:spacing w:after="0"/>
    </w:pPr>
    <w:rPr>
      <w:sz w:val="18"/>
      <w:szCs w:val="18"/>
    </w:rPr>
  </w:style>
  <w:style w:type="paragraph" w:styleId="1185">
    <w:name w:val="toc 8"/>
    <w:basedOn w:val="912"/>
    <w:next w:val="912"/>
    <w:uiPriority w:val="39"/>
    <w:pPr>
      <w:ind w:left="1680"/>
      <w:jc w:val="left"/>
      <w:spacing w:after="0"/>
    </w:pPr>
    <w:rPr>
      <w:sz w:val="18"/>
      <w:szCs w:val="18"/>
    </w:rPr>
  </w:style>
  <w:style w:type="paragraph" w:styleId="1186">
    <w:name w:val="toc 9"/>
    <w:basedOn w:val="912"/>
    <w:next w:val="912"/>
    <w:uiPriority w:val="39"/>
    <w:pPr>
      <w:ind w:left="1920"/>
      <w:jc w:val="left"/>
      <w:spacing w:after="0"/>
    </w:pPr>
    <w:rPr>
      <w:sz w:val="18"/>
      <w:szCs w:val="18"/>
    </w:rPr>
  </w:style>
  <w:style w:type="paragraph" w:styleId="1187" w:customStyle="1">
    <w:name w:val="Стиль1"/>
    <w:basedOn w:val="912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188" w:customStyle="1">
    <w:name w:val="содержание2-1"/>
    <w:basedOn w:val="915"/>
    <w:next w:val="912"/>
    <w:uiPriority w:val="99"/>
  </w:style>
  <w:style w:type="paragraph" w:styleId="1189" w:customStyle="1">
    <w:name w:val="Заголовок 2.1"/>
    <w:basedOn w:val="913"/>
    <w:uiPriority w:val="99"/>
    <w:pPr>
      <w:keepLines/>
      <w:widowControl w:val="off"/>
      <w:suppressLineNumbers/>
    </w:pPr>
    <w:rPr>
      <w:caps/>
    </w:rPr>
  </w:style>
  <w:style w:type="paragraph" w:styleId="1190" w:customStyle="1">
    <w:name w:val="Стиль2"/>
    <w:basedOn w:val="1089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191" w:customStyle="1">
    <w:name w:val="Стиль3"/>
    <w:basedOn w:val="1113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192" w:customStyle="1">
    <w:name w:val="содержание2-11"/>
    <w:basedOn w:val="912"/>
    <w:uiPriority w:val="99"/>
  </w:style>
  <w:style w:type="character" w:styleId="1193" w:customStyle="1">
    <w:name w:val="Знак Знак1"/>
    <w:uiPriority w:val="99"/>
    <w:rPr>
      <w:sz w:val="24"/>
      <w:szCs w:val="24"/>
      <w:lang w:val="ru-RU" w:eastAsia="ru-RU"/>
    </w:rPr>
  </w:style>
  <w:style w:type="character" w:styleId="1194" w:customStyle="1">
    <w:name w:val="Стиль3 Знак"/>
    <w:uiPriority w:val="99"/>
    <w:rPr>
      <w:sz w:val="24"/>
      <w:szCs w:val="24"/>
      <w:lang w:val="ru-RU" w:eastAsia="ru-RU"/>
    </w:rPr>
  </w:style>
  <w:style w:type="paragraph" w:styleId="1195" w:customStyle="1">
    <w:name w:val="Стиль4"/>
    <w:basedOn w:val="914"/>
    <w:next w:val="912"/>
    <w:uiPriority w:val="99"/>
    <w:pPr>
      <w:ind w:firstLine="567"/>
      <w:keepLines/>
      <w:widowControl w:val="off"/>
      <w:suppressLineNumbers/>
    </w:pPr>
  </w:style>
  <w:style w:type="paragraph" w:styleId="1196" w:customStyle="1">
    <w:name w:val="Таблица заголовок"/>
    <w:basedOn w:val="912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197" w:customStyle="1">
    <w:name w:val="текст таблицы"/>
    <w:basedOn w:val="912"/>
    <w:uiPriority w:val="99"/>
    <w:pPr>
      <w:ind w:right="-102"/>
      <w:jc w:val="left"/>
      <w:spacing w:before="120" w:after="0"/>
    </w:pPr>
  </w:style>
  <w:style w:type="paragraph" w:styleId="1198" w:customStyle="1">
    <w:name w:val="Пункт Знак"/>
    <w:basedOn w:val="912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199" w:customStyle="1">
    <w:name w:val="a"/>
    <w:basedOn w:val="912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200" w:customStyle="1">
    <w:name w:val="Словарная статья"/>
    <w:basedOn w:val="912"/>
    <w:next w:val="912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201" w:customStyle="1">
    <w:name w:val="Комментарий пользователя"/>
    <w:basedOn w:val="912"/>
    <w:next w:val="912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202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203">
    <w:name w:val="Balloon Text"/>
    <w:basedOn w:val="912"/>
    <w:link w:val="1204"/>
    <w:uiPriority w:val="99"/>
    <w:semiHidden/>
    <w:rPr>
      <w:sz w:val="20"/>
      <w:szCs w:val="2"/>
    </w:rPr>
  </w:style>
  <w:style w:type="character" w:styleId="1204" w:customStyle="1">
    <w:name w:val="Текст выноски Знак"/>
    <w:link w:val="1203"/>
    <w:uiPriority w:val="99"/>
    <w:semiHidden/>
    <w:rPr>
      <w:szCs w:val="2"/>
    </w:rPr>
  </w:style>
  <w:style w:type="character" w:styleId="1205" w:customStyle="1">
    <w:name w:val="label_body_text_1"/>
    <w:uiPriority w:val="99"/>
  </w:style>
  <w:style w:type="paragraph" w:styleId="1206" w:customStyle="1">
    <w:name w:val="Заголовок 1.Document Header1"/>
    <w:basedOn w:val="912"/>
    <w:next w:val="912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207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208" w:customStyle="1">
    <w:name w:val="Знак Знак11"/>
    <w:uiPriority w:val="99"/>
    <w:rPr>
      <w:sz w:val="24"/>
      <w:szCs w:val="24"/>
      <w:lang w:val="ru-RU" w:eastAsia="ru-RU"/>
    </w:rPr>
  </w:style>
  <w:style w:type="character" w:styleId="1209">
    <w:name w:val="annotation reference"/>
    <w:rPr>
      <w:sz w:val="16"/>
      <w:szCs w:val="16"/>
    </w:rPr>
  </w:style>
  <w:style w:type="paragraph" w:styleId="1210">
    <w:name w:val="annotation text"/>
    <w:basedOn w:val="912"/>
    <w:link w:val="1211"/>
    <w:uiPriority w:val="99"/>
    <w:rPr>
      <w:sz w:val="20"/>
      <w:szCs w:val="20"/>
    </w:rPr>
  </w:style>
  <w:style w:type="character" w:styleId="1211" w:customStyle="1">
    <w:name w:val="Текст примечания Знак"/>
    <w:link w:val="1210"/>
    <w:uiPriority w:val="99"/>
  </w:style>
  <w:style w:type="paragraph" w:styleId="1212">
    <w:name w:val="annotation subject"/>
    <w:basedOn w:val="1210"/>
    <w:next w:val="1210"/>
    <w:link w:val="1213"/>
    <w:uiPriority w:val="99"/>
    <w:semiHidden/>
    <w:rPr>
      <w:b/>
      <w:bCs/>
    </w:rPr>
  </w:style>
  <w:style w:type="character" w:styleId="1213" w:customStyle="1">
    <w:name w:val="Тема примечания Знак"/>
    <w:link w:val="1212"/>
    <w:uiPriority w:val="99"/>
    <w:semiHidden/>
    <w:rPr>
      <w:b/>
      <w:bCs/>
      <w:sz w:val="20"/>
      <w:szCs w:val="20"/>
    </w:rPr>
  </w:style>
  <w:style w:type="paragraph" w:styleId="1214" w:customStyle="1">
    <w:name w:val="20"/>
    <w:basedOn w:val="912"/>
    <w:uiPriority w:val="99"/>
    <w:pPr>
      <w:ind w:left="104" w:right="104"/>
      <w:jc w:val="left"/>
      <w:spacing w:before="104" w:after="104"/>
    </w:pPr>
  </w:style>
  <w:style w:type="character" w:styleId="1215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216" w:customStyle="1">
    <w:name w:val="Пункт"/>
    <w:basedOn w:val="912"/>
    <w:link w:val="1243"/>
    <w:pPr>
      <w:ind w:left="1404" w:hanging="504"/>
      <w:spacing w:after="0"/>
      <w:tabs>
        <w:tab w:val="num" w:pos="1980" w:leader="none"/>
      </w:tabs>
    </w:pPr>
  </w:style>
  <w:style w:type="paragraph" w:styleId="1217" w:customStyle="1">
    <w:name w:val="Подпункт"/>
    <w:basedOn w:val="1216"/>
    <w:link w:val="1280"/>
    <w:pPr>
      <w:ind w:left="1728" w:hanging="648"/>
      <w:tabs>
        <w:tab w:val="clear" w:pos="1980" w:leader="none"/>
        <w:tab w:val="num" w:pos="2520" w:leader="none"/>
      </w:tabs>
    </w:pPr>
  </w:style>
  <w:style w:type="paragraph" w:styleId="1218">
    <w:name w:val="Document Map"/>
    <w:basedOn w:val="912"/>
    <w:link w:val="1219"/>
    <w:uiPriority w:val="99"/>
    <w:semiHidden/>
    <w:pPr>
      <w:shd w:val="clear" w:color="auto" w:fill="000080"/>
    </w:pPr>
    <w:rPr>
      <w:sz w:val="2"/>
      <w:szCs w:val="2"/>
    </w:rPr>
  </w:style>
  <w:style w:type="character" w:styleId="1219" w:customStyle="1">
    <w:name w:val="Схема документа Знак"/>
    <w:link w:val="1218"/>
    <w:uiPriority w:val="99"/>
    <w:semiHidden/>
    <w:rPr>
      <w:sz w:val="2"/>
      <w:szCs w:val="2"/>
    </w:rPr>
  </w:style>
  <w:style w:type="paragraph" w:styleId="1220" w:customStyle="1">
    <w:name w:val="Таблица шапка"/>
    <w:basedOn w:val="912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221" w:customStyle="1">
    <w:name w:val="Таблица текст"/>
    <w:basedOn w:val="912"/>
    <w:pPr>
      <w:ind w:left="57" w:right="57"/>
      <w:jc w:val="left"/>
      <w:spacing w:before="40" w:after="40"/>
    </w:pPr>
    <w:rPr>
      <w:sz w:val="22"/>
      <w:szCs w:val="22"/>
    </w:rPr>
  </w:style>
  <w:style w:type="paragraph" w:styleId="1222" w:customStyle="1">
    <w:name w:val="пункт"/>
    <w:basedOn w:val="912"/>
    <w:uiPriority w:val="99"/>
    <w:pPr>
      <w:numPr>
        <w:ilvl w:val="2"/>
        <w:numId w:val="7"/>
      </w:numPr>
      <w:jc w:val="left"/>
      <w:spacing w:before="60"/>
    </w:pPr>
  </w:style>
  <w:style w:type="character" w:styleId="1223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224">
    <w:name w:val="index 1"/>
    <w:basedOn w:val="912"/>
    <w:next w:val="912"/>
    <w:uiPriority w:val="99"/>
    <w:semiHidden/>
    <w:pPr>
      <w:ind w:left="240" w:hanging="240"/>
    </w:pPr>
  </w:style>
  <w:style w:type="paragraph" w:styleId="1225" w:customStyle="1">
    <w:name w:val="Обычный1"/>
    <w:uiPriority w:val="99"/>
    <w:rPr>
      <w:sz w:val="24"/>
      <w:szCs w:val="24"/>
    </w:rPr>
  </w:style>
  <w:style w:type="paragraph" w:styleId="1226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227">
    <w:name w:val="No Spacing"/>
    <w:uiPriority w:val="1"/>
    <w:qFormat/>
    <w:rPr>
      <w:sz w:val="24"/>
      <w:szCs w:val="24"/>
    </w:rPr>
  </w:style>
  <w:style w:type="paragraph" w:styleId="1228">
    <w:name w:val="endnote text"/>
    <w:basedOn w:val="912"/>
    <w:link w:val="1229"/>
    <w:uiPriority w:val="99"/>
    <w:semiHidden/>
    <w:rPr>
      <w:sz w:val="20"/>
      <w:szCs w:val="20"/>
    </w:rPr>
  </w:style>
  <w:style w:type="character" w:styleId="1229" w:customStyle="1">
    <w:name w:val="Текст концевой сноски Знак"/>
    <w:basedOn w:val="922"/>
    <w:link w:val="1228"/>
    <w:uiPriority w:val="99"/>
  </w:style>
  <w:style w:type="character" w:styleId="1230">
    <w:name w:val="endnote reference"/>
    <w:uiPriority w:val="99"/>
    <w:semiHidden/>
    <w:rPr>
      <w:vertAlign w:val="superscript"/>
    </w:rPr>
  </w:style>
  <w:style w:type="paragraph" w:styleId="1231" w:customStyle="1">
    <w:name w:val="Основной текст с отступом11"/>
    <w:basedOn w:val="912"/>
    <w:uiPriority w:val="99"/>
    <w:pPr>
      <w:ind w:firstLine="851"/>
      <w:spacing w:before="60" w:after="0"/>
    </w:pPr>
  </w:style>
  <w:style w:type="character" w:styleId="1232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233">
    <w:name w:val="List Paragraph"/>
    <w:basedOn w:val="912"/>
    <w:link w:val="1250"/>
    <w:uiPriority w:val="34"/>
    <w:qFormat/>
    <w:pPr>
      <w:ind w:left="720"/>
      <w:jc w:val="left"/>
      <w:spacing w:after="0"/>
    </w:pPr>
  </w:style>
  <w:style w:type="character" w:styleId="1234">
    <w:name w:val="Placeholder Text"/>
    <w:basedOn w:val="922"/>
    <w:uiPriority w:val="99"/>
    <w:semiHidden/>
    <w:rPr>
      <w:color w:val="808080"/>
    </w:rPr>
  </w:style>
  <w:style w:type="character" w:styleId="1235" w:customStyle="1">
    <w:name w:val="f"/>
    <w:basedOn w:val="922"/>
  </w:style>
  <w:style w:type="character" w:styleId="1236" w:customStyle="1">
    <w:name w:val="r"/>
    <w:basedOn w:val="922"/>
  </w:style>
  <w:style w:type="paragraph" w:styleId="1237">
    <w:name w:val="Body Text 2"/>
    <w:basedOn w:val="912"/>
    <w:link w:val="1238"/>
    <w:pPr>
      <w:spacing w:after="120" w:line="480" w:lineRule="auto"/>
    </w:pPr>
  </w:style>
  <w:style w:type="character" w:styleId="1238" w:customStyle="1">
    <w:name w:val="Основной текст 2 Знак"/>
    <w:basedOn w:val="922"/>
    <w:link w:val="1237"/>
    <w:rPr>
      <w:sz w:val="24"/>
      <w:szCs w:val="24"/>
    </w:rPr>
  </w:style>
  <w:style w:type="table" w:styleId="1239">
    <w:name w:val="Table Grid"/>
    <w:basedOn w:val="92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40" w:customStyle="1">
    <w:name w:val="Iniiaiie oaeno"/>
    <w:basedOn w:val="912"/>
    <w:uiPriority w:val="99"/>
    <w:pPr>
      <w:jc w:val="center"/>
      <w:spacing w:after="0"/>
    </w:pPr>
    <w:rPr>
      <w:rFonts w:ascii="Arial" w:hAnsi="Arial" w:cs="Arial"/>
    </w:rPr>
  </w:style>
  <w:style w:type="paragraph" w:styleId="1241" w:customStyle="1">
    <w:name w:val="Абзац списка1"/>
    <w:basedOn w:val="912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242" w:customStyle="1">
    <w:name w:val="Таблицы (моноширинный)"/>
    <w:basedOn w:val="912"/>
    <w:next w:val="912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243" w:customStyle="1">
    <w:name w:val="Пункт Знак1"/>
    <w:link w:val="1216"/>
    <w:rPr>
      <w:sz w:val="24"/>
      <w:szCs w:val="24"/>
    </w:rPr>
  </w:style>
  <w:style w:type="paragraph" w:styleId="1244" w:customStyle="1">
    <w:name w:val="Подподпункт"/>
    <w:basedOn w:val="1217"/>
    <w:link w:val="1283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245" w:customStyle="1">
    <w:name w:val="Пункт-3"/>
    <w:basedOn w:val="912"/>
    <w:link w:val="1246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246" w:customStyle="1">
    <w:name w:val="Пункт-3 Знак"/>
    <w:link w:val="1245"/>
    <w:rPr>
      <w:sz w:val="28"/>
    </w:rPr>
  </w:style>
  <w:style w:type="character" w:styleId="1247" w:customStyle="1">
    <w:name w:val="Основной текст (3)_"/>
    <w:basedOn w:val="922"/>
    <w:link w:val="1248"/>
    <w:rPr>
      <w:b/>
      <w:bCs/>
      <w:shd w:val="clear" w:color="auto" w:fill="ffffff"/>
    </w:rPr>
  </w:style>
  <w:style w:type="paragraph" w:styleId="1248" w:customStyle="1">
    <w:name w:val="Основной текст (3)"/>
    <w:basedOn w:val="912"/>
    <w:link w:val="1247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249" w:customStyle="1">
    <w:name w:val="Default"/>
    <w:rPr>
      <w:color w:val="000000"/>
      <w:sz w:val="24"/>
      <w:szCs w:val="24"/>
      <w:lang w:eastAsia="en-US"/>
    </w:rPr>
  </w:style>
  <w:style w:type="character" w:styleId="1250" w:customStyle="1">
    <w:name w:val="Абзац списка Знак"/>
    <w:basedOn w:val="922"/>
    <w:link w:val="1233"/>
    <w:uiPriority w:val="34"/>
    <w:qFormat/>
    <w:rPr>
      <w:sz w:val="24"/>
      <w:szCs w:val="24"/>
    </w:rPr>
  </w:style>
  <w:style w:type="paragraph" w:styleId="1251" w:customStyle="1">
    <w:name w:val="Пункт-4"/>
    <w:basedOn w:val="912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252" w:customStyle="1">
    <w:name w:val="комментарий"/>
    <w:rPr>
      <w:i/>
      <w:u w:val="none"/>
      <w:shd w:val="clear" w:color="auto" w:fill="ffff99"/>
    </w:rPr>
  </w:style>
  <w:style w:type="paragraph" w:styleId="1253">
    <w:name w:val="Revision"/>
    <w:hidden/>
    <w:uiPriority w:val="99"/>
    <w:semiHidden/>
    <w:rPr>
      <w:sz w:val="24"/>
      <w:szCs w:val="24"/>
    </w:rPr>
  </w:style>
  <w:style w:type="paragraph" w:styleId="1254" w:customStyle="1">
    <w:name w:val="Ариал"/>
    <w:basedOn w:val="912"/>
    <w:link w:val="1255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255" w:customStyle="1">
    <w:name w:val="Ариал Знак1"/>
    <w:link w:val="1254"/>
    <w:rPr>
      <w:rFonts w:ascii="Arial" w:hAnsi="Arial"/>
      <w:sz w:val="24"/>
    </w:rPr>
  </w:style>
  <w:style w:type="paragraph" w:styleId="1256" w:customStyle="1">
    <w:name w:val="Цитата1"/>
    <w:basedOn w:val="912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257" w:customStyle="1">
    <w:name w:val="Заголовок_1"/>
    <w:basedOn w:val="912"/>
    <w:uiPriority w:val="99"/>
    <w:pPr>
      <w:numPr>
        <w:ilvl w:val="0"/>
        <w:numId w:val="8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258" w:customStyle="1">
    <w:name w:val="Пункт_3"/>
    <w:basedOn w:val="912"/>
    <w:uiPriority w:val="99"/>
    <w:pPr>
      <w:numPr>
        <w:ilvl w:val="2"/>
        <w:numId w:val="8"/>
      </w:numPr>
      <w:spacing w:after="0"/>
    </w:pPr>
    <w:rPr>
      <w:sz w:val="28"/>
      <w:szCs w:val="28"/>
    </w:rPr>
  </w:style>
  <w:style w:type="paragraph" w:styleId="1259" w:customStyle="1">
    <w:name w:val="Пункт_2"/>
    <w:basedOn w:val="912"/>
    <w:uiPriority w:val="99"/>
    <w:pPr>
      <w:numPr>
        <w:ilvl w:val="1"/>
        <w:numId w:val="8"/>
      </w:numPr>
      <w:spacing w:after="0"/>
    </w:pPr>
    <w:rPr>
      <w:sz w:val="28"/>
      <w:szCs w:val="20"/>
    </w:rPr>
  </w:style>
  <w:style w:type="paragraph" w:styleId="1260" w:customStyle="1">
    <w:name w:val="Пункт_5"/>
    <w:basedOn w:val="1258"/>
    <w:uiPriority w:val="99"/>
    <w:pPr>
      <w:numPr>
        <w:ilvl w:val="4"/>
      </w:numPr>
    </w:pPr>
  </w:style>
  <w:style w:type="paragraph" w:styleId="1261">
    <w:name w:val="Caption"/>
    <w:basedOn w:val="912"/>
    <w:next w:val="912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262" w:customStyle="1">
    <w:name w:val="Times 12"/>
    <w:basedOn w:val="912"/>
    <w:pPr>
      <w:ind w:firstLine="567"/>
      <w:spacing w:after="0"/>
    </w:pPr>
    <w:rPr>
      <w:bCs/>
      <w:szCs w:val="22"/>
    </w:rPr>
  </w:style>
  <w:style w:type="paragraph" w:styleId="1263" w:customStyle="1">
    <w:name w:val="_Маркер (номер) - с заголовком"/>
    <w:basedOn w:val="912"/>
    <w:pPr>
      <w:jc w:val="left"/>
      <w:spacing w:before="240" w:line="360" w:lineRule="auto"/>
    </w:pPr>
    <w:rPr>
      <w:b/>
      <w:bCs/>
      <w:szCs w:val="20"/>
    </w:rPr>
  </w:style>
  <w:style w:type="character" w:styleId="1264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paragraph" w:styleId="1265" w:customStyle="1">
    <w:name w:val="Style23"/>
    <w:basedOn w:val="912"/>
    <w:pPr>
      <w:ind w:firstLine="706"/>
      <w:spacing w:after="0" w:line="338" w:lineRule="exact"/>
      <w:widowControl w:val="off"/>
    </w:pPr>
  </w:style>
  <w:style w:type="paragraph" w:styleId="1266" w:customStyle="1">
    <w:name w:val="Style39"/>
    <w:basedOn w:val="912"/>
    <w:pPr>
      <w:ind w:firstLine="706"/>
      <w:jc w:val="left"/>
      <w:spacing w:after="0" w:line="320" w:lineRule="exact"/>
      <w:widowControl w:val="off"/>
    </w:pPr>
  </w:style>
  <w:style w:type="character" w:styleId="1267" w:customStyle="1">
    <w:name w:val="П.1 Char"/>
    <w:link w:val="1268"/>
    <w:rPr>
      <w:sz w:val="24"/>
      <w:szCs w:val="24"/>
    </w:rPr>
  </w:style>
  <w:style w:type="paragraph" w:styleId="1268" w:customStyle="1">
    <w:name w:val="П.1"/>
    <w:basedOn w:val="912"/>
    <w:link w:val="1267"/>
    <w:qFormat/>
    <w:pPr>
      <w:numPr>
        <w:ilvl w:val="1"/>
        <w:numId w:val="15"/>
      </w:numPr>
      <w:spacing w:after="0"/>
    </w:pPr>
  </w:style>
  <w:style w:type="paragraph" w:styleId="1269" w:customStyle="1">
    <w:name w:val="П.1.1"/>
    <w:basedOn w:val="912"/>
    <w:qFormat/>
    <w:pPr>
      <w:numPr>
        <w:ilvl w:val="2"/>
        <w:numId w:val="15"/>
      </w:numPr>
      <w:spacing w:after="0"/>
    </w:pPr>
    <w:rPr>
      <w:rFonts w:ascii="Calibri" w:hAnsi="Calibri" w:eastAsia="Calibri"/>
    </w:rPr>
  </w:style>
  <w:style w:type="paragraph" w:styleId="1270" w:customStyle="1">
    <w:name w:val="П.1.1.1"/>
    <w:basedOn w:val="912"/>
    <w:qFormat/>
    <w:pPr>
      <w:numPr>
        <w:ilvl w:val="3"/>
        <w:numId w:val="15"/>
      </w:numPr>
      <w:ind w:left="0" w:firstLine="567"/>
      <w:spacing w:after="0"/>
    </w:pPr>
    <w:rPr>
      <w:rFonts w:ascii="Calibri" w:hAnsi="Calibri" w:eastAsia="Calibri"/>
    </w:rPr>
  </w:style>
  <w:style w:type="paragraph" w:styleId="1271" w:customStyle="1">
    <w:name w:val="П.1.1.1.1"/>
    <w:basedOn w:val="912"/>
    <w:qFormat/>
    <w:pPr>
      <w:numPr>
        <w:ilvl w:val="4"/>
        <w:numId w:val="15"/>
      </w:numPr>
      <w:ind w:left="0" w:firstLine="567"/>
      <w:spacing w:after="0"/>
    </w:pPr>
    <w:rPr>
      <w:rFonts w:ascii="Calibri" w:hAnsi="Calibri" w:eastAsia="Calibri"/>
    </w:rPr>
  </w:style>
  <w:style w:type="paragraph" w:styleId="1272" w:customStyle="1">
    <w:name w:val="П.1.1.1.1.1"/>
    <w:basedOn w:val="912"/>
    <w:qFormat/>
    <w:pPr>
      <w:numPr>
        <w:ilvl w:val="5"/>
        <w:numId w:val="15"/>
      </w:numPr>
      <w:ind w:left="0" w:firstLine="567"/>
      <w:spacing w:after="0"/>
    </w:pPr>
    <w:rPr>
      <w:rFonts w:ascii="Calibri" w:hAnsi="Calibri" w:eastAsia="Calibri"/>
    </w:rPr>
  </w:style>
  <w:style w:type="paragraph" w:styleId="1273" w:customStyle="1">
    <w:name w:val="П.глава"/>
    <w:basedOn w:val="912"/>
    <w:qFormat/>
    <w:pPr>
      <w:numPr>
        <w:ilvl w:val="0"/>
        <w:numId w:val="15"/>
      </w:numPr>
      <w:ind w:right="-6"/>
      <w:jc w:val="center"/>
      <w:spacing w:before="240" w:after="240"/>
    </w:pPr>
    <w:rPr>
      <w:rFonts w:eastAsia="Calibri"/>
      <w:b/>
      <w:bCs/>
    </w:rPr>
  </w:style>
  <w:style w:type="paragraph" w:styleId="1274" w:customStyle="1">
    <w:name w:val="FTN_12"/>
    <w:basedOn w:val="912"/>
    <w:pPr>
      <w:numPr>
        <w:ilvl w:val="0"/>
        <w:numId w:val="17"/>
      </w:numPr>
      <w:spacing w:after="0" w:line="288" w:lineRule="auto"/>
      <w:widowControl w:val="off"/>
    </w:pPr>
    <w:rPr>
      <w:rFonts w:eastAsia="Arial Unicode MS"/>
      <w:sz w:val="28"/>
      <w:szCs w:val="28"/>
    </w:rPr>
  </w:style>
  <w:style w:type="character" w:styleId="1275" w:customStyle="1">
    <w:name w:val="big1"/>
    <w:uiPriority w:val="99"/>
    <w:rPr>
      <w:rFonts w:ascii="Arial" w:hAnsi="Arial"/>
      <w:sz w:val="23"/>
    </w:rPr>
  </w:style>
  <w:style w:type="paragraph" w:styleId="1276" w:customStyle="1">
    <w:name w:val="FTN_таб"/>
    <w:basedOn w:val="912"/>
    <w:pPr>
      <w:spacing w:after="0"/>
      <w:widowControl w:val="off"/>
      <w:tabs>
        <w:tab w:val="left" w:pos="709" w:leader="none"/>
      </w:tabs>
    </w:pPr>
    <w:rPr>
      <w:rFonts w:eastAsia="Arial Unicode MS"/>
      <w:sz w:val="22"/>
    </w:rPr>
  </w:style>
  <w:style w:type="paragraph" w:styleId="1277" w:customStyle="1">
    <w:name w:val="Знак Знак Знак Знак Знак Знак"/>
    <w:basedOn w:val="912"/>
    <w:next w:val="913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styleId="1278" w:customStyle="1">
    <w:name w:val="Стиль5"/>
    <w:pPr>
      <w:numPr>
        <w:ilvl w:val="0"/>
        <w:numId w:val="25"/>
      </w:numPr>
    </w:pPr>
  </w:style>
  <w:style w:type="character" w:styleId="1279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1280" w:customStyle="1">
    <w:name w:val="Подпункт Знак1"/>
    <w:link w:val="1217"/>
    <w:rPr>
      <w:sz w:val="24"/>
      <w:szCs w:val="24"/>
    </w:rPr>
  </w:style>
  <w:style w:type="paragraph" w:styleId="1281" w:customStyle="1">
    <w:name w:val="Пункт2"/>
    <w:basedOn w:val="1216"/>
    <w:link w:val="1282"/>
    <w:pPr>
      <w:ind w:left="1320" w:hanging="720"/>
      <w:jc w:val="left"/>
      <w:keepNext/>
      <w:spacing w:before="240" w:after="120"/>
      <w:tabs>
        <w:tab w:val="clear" w:pos="1980" w:leader="none"/>
      </w:tabs>
      <w:outlineLvl w:val="2"/>
    </w:pPr>
    <w:rPr>
      <w:b/>
      <w:sz w:val="26"/>
      <w:szCs w:val="26"/>
    </w:rPr>
  </w:style>
  <w:style w:type="character" w:styleId="1282" w:customStyle="1">
    <w:name w:val="Пункт2 Знак"/>
    <w:link w:val="1281"/>
    <w:rPr>
      <w:b/>
      <w:sz w:val="26"/>
      <w:szCs w:val="26"/>
    </w:rPr>
  </w:style>
  <w:style w:type="character" w:styleId="1283" w:customStyle="1">
    <w:name w:val="Подподпункт Знак"/>
    <w:link w:val="1244"/>
    <w:rPr>
      <w:sz w:val="28"/>
    </w:rPr>
  </w:style>
  <w:style w:type="character" w:styleId="1284" w:customStyle="1">
    <w:name w:val="Пункт Знак2"/>
  </w:style>
  <w:style w:type="paragraph" w:styleId="1285" w:customStyle="1">
    <w:name w:val="Table_text"/>
    <w:basedOn w:val="912"/>
    <w:pPr>
      <w:spacing w:before="120" w:after="0"/>
    </w:pPr>
    <w:rPr>
      <w:sz w:val="20"/>
    </w:rPr>
  </w:style>
  <w:style w:type="paragraph" w:styleId="1286" w:customStyle="1">
    <w:name w:val="Гиперссылка1"/>
    <w:basedOn w:val="912"/>
    <w:link w:val="1140"/>
    <w:uiPriority w:val="99"/>
    <w:pPr>
      <w:jc w:val="left"/>
      <w:spacing w:after="0"/>
    </w:pPr>
    <w:rPr>
      <w:color w:val="0000ff"/>
      <w:sz w:val="20"/>
      <w:szCs w:val="20"/>
      <w:u w:val="single"/>
    </w:rPr>
  </w:style>
  <w:style w:type="paragraph" w:styleId="1287">
    <w:name w:val="TOC Heading"/>
    <w:basedOn w:val="913"/>
    <w:next w:val="912"/>
    <w:uiPriority w:val="39"/>
    <w:semiHidden/>
    <w:unhideWhenUsed/>
    <w:qFormat/>
    <w:pPr>
      <w:ind w:left="0" w:firstLine="0"/>
      <w:jc w:val="both"/>
      <w:keepLines/>
      <w:spacing w:before="480" w:after="0"/>
      <w:tabs>
        <w:tab w:val="clear" w:pos="432" w:leader="none"/>
      </w:tabs>
      <w:outlineLvl w:val="9"/>
    </w:pPr>
    <w:rPr>
      <w:rFonts w:asciiTheme="majorHAnsi" w:hAnsiTheme="majorHAnsi" w:eastAsiaTheme="majorEastAsia" w:cstheme="majorBidi"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customXml" Target="../customXml/item1.xml" /><Relationship Id="rId15" Type="http://schemas.openxmlformats.org/officeDocument/2006/relationships/image" Target="media/image1.png"/><Relationship Id="rId16" Type="http://schemas.openxmlformats.org/officeDocument/2006/relationships/hyperlink" Target="https://m4d.nalog.gov.ru" TargetMode="External"/><Relationship Id="rId17" Type="http://schemas.openxmlformats.org/officeDocument/2006/relationships/hyperlink" Target="consultantplus://offline/main?base=LAW;n=115717;fld=134;dst=100014" TargetMode="External"/><Relationship Id="rId18" Type="http://schemas.openxmlformats.org/officeDocument/2006/relationships/image" Target="media/image2.png"/><Relationship Id="rId19" Type="http://schemas.openxmlformats.org/officeDocument/2006/relationships/oleObject" Target="embeddings/oleObject1.bin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6047C-C612-4FEF-9530-992700906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75</cp:revision>
  <dcterms:created xsi:type="dcterms:W3CDTF">2024-12-17T09:10:00Z</dcterms:created>
  <dcterms:modified xsi:type="dcterms:W3CDTF">2025-02-26T12:54:15Z</dcterms:modified>
</cp:coreProperties>
</file>